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Heading1"/>
        <w:spacing w:line="232" w:lineRule="auto"/>
        <w:rPr>
          <w:b w:val="0"/>
        </w:rPr>
      </w:pPr>
      <w:r>
        <w:rPr>
          <w:b w:val="0"/>
          <w:color w:val="231F20"/>
          <w:spacing w:val="-2"/>
        </w:rPr>
        <w:t>Attachment</w:t>
      </w:r>
      <w:r>
        <w:rPr>
          <w:b w:val="0"/>
          <w:color w:val="231F20"/>
          <w:spacing w:val="-8"/>
        </w:rPr>
        <w:t> </w:t>
      </w:r>
      <w:r>
        <w:rPr>
          <w:b w:val="0"/>
          <w:color w:val="231F20"/>
          <w:spacing w:val="-2"/>
        </w:rPr>
        <w:t>3-C:</w:t>
      </w:r>
      <w:r>
        <w:rPr>
          <w:b w:val="0"/>
          <w:color w:val="231F20"/>
          <w:spacing w:val="-8"/>
        </w:rPr>
        <w:t> </w:t>
      </w:r>
      <w:r>
        <w:rPr>
          <w:b w:val="0"/>
          <w:color w:val="231F20"/>
          <w:spacing w:val="-2"/>
        </w:rPr>
        <w:t>Worksheet</w:t>
      </w:r>
      <w:r>
        <w:rPr>
          <w:b w:val="0"/>
          <w:color w:val="231F20"/>
          <w:spacing w:val="-8"/>
        </w:rPr>
        <w:t> </w:t>
      </w:r>
      <w:r>
        <w:rPr>
          <w:b w:val="0"/>
          <w:color w:val="231F20"/>
          <w:spacing w:val="-2"/>
        </w:rPr>
        <w:t>for</w:t>
      </w:r>
      <w:r>
        <w:rPr>
          <w:b w:val="0"/>
          <w:color w:val="231F20"/>
          <w:spacing w:val="-8"/>
        </w:rPr>
        <w:t> </w:t>
      </w:r>
      <w:r>
        <w:rPr>
          <w:b w:val="0"/>
          <w:color w:val="231F20"/>
          <w:spacing w:val="-2"/>
        </w:rPr>
        <w:t>Performing</w:t>
      </w:r>
      <w:r>
        <w:rPr>
          <w:b w:val="0"/>
          <w:color w:val="231F20"/>
          <w:spacing w:val="-8"/>
        </w:rPr>
        <w:t> </w:t>
      </w:r>
      <w:r>
        <w:rPr>
          <w:b w:val="0"/>
          <w:color w:val="231F20"/>
          <w:spacing w:val="-2"/>
        </w:rPr>
        <w:t>Mathematical</w:t>
      </w:r>
      <w:r>
        <w:rPr>
          <w:b w:val="0"/>
          <w:color w:val="231F20"/>
          <w:spacing w:val="-8"/>
        </w:rPr>
        <w:t> </w:t>
      </w:r>
      <w:r>
        <w:rPr>
          <w:b w:val="0"/>
          <w:color w:val="231F20"/>
          <w:spacing w:val="-2"/>
        </w:rPr>
        <w:t>Calculations</w:t>
      </w:r>
      <w:r>
        <w:rPr>
          <w:b w:val="0"/>
          <w:color w:val="231F20"/>
          <w:spacing w:val="-8"/>
        </w:rPr>
        <w:t> </w:t>
      </w:r>
      <w:r>
        <w:rPr>
          <w:b w:val="0"/>
          <w:color w:val="231F20"/>
          <w:spacing w:val="-2"/>
        </w:rPr>
        <w:t>from </w:t>
      </w:r>
      <w:r>
        <w:rPr>
          <w:b w:val="0"/>
          <w:color w:val="231F20"/>
        </w:rPr>
        <w:t>Fractions to Decimals</w:t>
      </w:r>
    </w:p>
    <w:p>
      <w:pPr>
        <w:pStyle w:val="BodyText"/>
        <w:spacing w:before="35"/>
        <w:rPr>
          <w:rFonts w:ascii="Calibri Light"/>
          <w:b w:val="0"/>
          <w:sz w:val="32"/>
        </w:rPr>
      </w:pPr>
    </w:p>
    <w:p>
      <w:pPr>
        <w:pStyle w:val="BodyText"/>
        <w:spacing w:line="232" w:lineRule="auto"/>
        <w:ind w:left="104"/>
      </w:pPr>
      <w:r>
        <w:rPr>
          <w:color w:val="231F20"/>
        </w:rPr>
        <w:t>When</w:t>
      </w:r>
      <w:r>
        <w:rPr>
          <w:color w:val="231F20"/>
          <w:spacing w:val="-2"/>
        </w:rPr>
        <w:t> </w:t>
      </w:r>
      <w:r>
        <w:rPr>
          <w:color w:val="231F20"/>
        </w:rPr>
        <w:t>recording</w:t>
      </w:r>
      <w:r>
        <w:rPr>
          <w:color w:val="231F20"/>
          <w:spacing w:val="-1"/>
        </w:rPr>
        <w:t> </w:t>
      </w:r>
      <w:r>
        <w:rPr>
          <w:color w:val="231F20"/>
        </w:rPr>
        <w:t>the</w:t>
      </w:r>
      <w:r>
        <w:rPr>
          <w:color w:val="231F20"/>
          <w:spacing w:val="-1"/>
        </w:rPr>
        <w:t> </w:t>
      </w:r>
      <w:r>
        <w:rPr>
          <w:color w:val="231F20"/>
        </w:rPr>
        <w:t>sample</w:t>
      </w:r>
      <w:r>
        <w:rPr>
          <w:color w:val="231F20"/>
          <w:spacing w:val="-1"/>
        </w:rPr>
        <w:t> </w:t>
      </w:r>
      <w:r>
        <w:rPr>
          <w:color w:val="231F20"/>
        </w:rPr>
        <w:t>area</w:t>
      </w:r>
      <w:r>
        <w:rPr>
          <w:color w:val="231F20"/>
          <w:spacing w:val="-2"/>
        </w:rPr>
        <w:t> </w:t>
      </w:r>
      <w:r>
        <w:rPr>
          <w:color w:val="231F20"/>
        </w:rPr>
        <w:t>on</w:t>
      </w:r>
      <w:r>
        <w:rPr>
          <w:color w:val="231F20"/>
          <w:spacing w:val="-2"/>
        </w:rPr>
        <w:t> </w:t>
      </w:r>
      <w:r>
        <w:rPr>
          <w:color w:val="231F20"/>
        </w:rPr>
        <w:t>the</w:t>
      </w:r>
      <w:r>
        <w:rPr>
          <w:color w:val="231F20"/>
          <w:spacing w:val="-1"/>
        </w:rPr>
        <w:t> </w:t>
      </w:r>
      <w:r>
        <w:rPr>
          <w:color w:val="231F20"/>
        </w:rPr>
        <w:t>dust</w:t>
      </w:r>
      <w:r>
        <w:rPr>
          <w:color w:val="231F20"/>
          <w:spacing w:val="-1"/>
        </w:rPr>
        <w:t> </w:t>
      </w:r>
      <w:r>
        <w:rPr>
          <w:color w:val="231F20"/>
        </w:rPr>
        <w:t>wipe</w:t>
      </w:r>
      <w:r>
        <w:rPr>
          <w:color w:val="231F20"/>
          <w:spacing w:val="-1"/>
        </w:rPr>
        <w:t> </w:t>
      </w:r>
      <w:r>
        <w:rPr>
          <w:color w:val="231F20"/>
        </w:rPr>
        <w:t>collection</w:t>
      </w:r>
      <w:r>
        <w:rPr>
          <w:color w:val="231F20"/>
          <w:spacing w:val="-2"/>
        </w:rPr>
        <w:t> </w:t>
      </w:r>
      <w:r>
        <w:rPr>
          <w:color w:val="231F20"/>
        </w:rPr>
        <w:t>form,</w:t>
      </w:r>
      <w:r>
        <w:rPr>
          <w:color w:val="231F20"/>
          <w:spacing w:val="-1"/>
        </w:rPr>
        <w:t> </w:t>
      </w:r>
      <w:r>
        <w:rPr>
          <w:color w:val="231F20"/>
        </w:rPr>
        <w:t>you</w:t>
      </w:r>
      <w:r>
        <w:rPr>
          <w:color w:val="231F20"/>
          <w:spacing w:val="-2"/>
        </w:rPr>
        <w:t> </w:t>
      </w:r>
      <w:r>
        <w:rPr>
          <w:color w:val="231F20"/>
        </w:rPr>
        <w:t>may</w:t>
      </w:r>
      <w:r>
        <w:rPr>
          <w:color w:val="231F20"/>
          <w:spacing w:val="-1"/>
        </w:rPr>
        <w:t> </w:t>
      </w:r>
      <w:r>
        <w:rPr>
          <w:color w:val="231F20"/>
        </w:rPr>
        <w:t>need</w:t>
      </w:r>
      <w:r>
        <w:rPr>
          <w:color w:val="231F20"/>
          <w:spacing w:val="-2"/>
        </w:rPr>
        <w:t> </w:t>
      </w:r>
      <w:r>
        <w:rPr>
          <w:color w:val="231F20"/>
        </w:rPr>
        <w:t>to</w:t>
      </w:r>
      <w:r>
        <w:rPr>
          <w:color w:val="231F20"/>
          <w:spacing w:val="-2"/>
        </w:rPr>
        <w:t> </w:t>
      </w:r>
      <w:r>
        <w:rPr>
          <w:color w:val="231F20"/>
        </w:rPr>
        <w:t>perform</w:t>
      </w:r>
      <w:r>
        <w:rPr>
          <w:color w:val="231F20"/>
          <w:spacing w:val="-1"/>
        </w:rPr>
        <w:t> </w:t>
      </w:r>
      <w:r>
        <w:rPr>
          <w:color w:val="231F20"/>
        </w:rPr>
        <w:t>one</w:t>
      </w:r>
      <w:r>
        <w:rPr>
          <w:color w:val="231F20"/>
          <w:spacing w:val="-1"/>
        </w:rPr>
        <w:t> </w:t>
      </w:r>
      <w:r>
        <w:rPr>
          <w:color w:val="231F20"/>
        </w:rPr>
        <w:t>or</w:t>
      </w:r>
      <w:r>
        <w:rPr>
          <w:color w:val="231F20"/>
          <w:spacing w:val="-1"/>
        </w:rPr>
        <w:t> </w:t>
      </w:r>
      <w:r>
        <w:rPr>
          <w:color w:val="231F20"/>
        </w:rPr>
        <w:t>both</w:t>
      </w:r>
      <w:r>
        <w:rPr>
          <w:color w:val="231F20"/>
          <w:spacing w:val="-2"/>
        </w:rPr>
        <w:t> </w:t>
      </w:r>
      <w:r>
        <w:rPr>
          <w:color w:val="231F20"/>
        </w:rPr>
        <w:t>of</w:t>
      </w:r>
      <w:r>
        <w:rPr>
          <w:color w:val="231F20"/>
          <w:spacing w:val="-2"/>
        </w:rPr>
        <w:t> </w:t>
      </w:r>
      <w:r>
        <w:rPr>
          <w:color w:val="231F20"/>
        </w:rPr>
        <w:t>the following conversions: converting fractions to decimals and converting inches to square feet. To facilitate the mathematical</w:t>
      </w:r>
      <w:r>
        <w:rPr>
          <w:color w:val="231F20"/>
          <w:spacing w:val="-9"/>
        </w:rPr>
        <w:t> </w:t>
      </w:r>
      <w:r>
        <w:rPr>
          <w:color w:val="231F20"/>
        </w:rPr>
        <w:t>calculations,</w:t>
      </w:r>
      <w:r>
        <w:rPr>
          <w:color w:val="231F20"/>
          <w:spacing w:val="-8"/>
        </w:rPr>
        <w:t> </w:t>
      </w:r>
      <w:r>
        <w:rPr>
          <w:color w:val="231F20"/>
        </w:rPr>
        <w:t>fractions</w:t>
      </w:r>
      <w:r>
        <w:rPr>
          <w:color w:val="231F20"/>
          <w:spacing w:val="-9"/>
        </w:rPr>
        <w:t> </w:t>
      </w:r>
      <w:r>
        <w:rPr>
          <w:color w:val="231F20"/>
        </w:rPr>
        <w:t>should</w:t>
      </w:r>
      <w:r>
        <w:rPr>
          <w:color w:val="231F20"/>
          <w:spacing w:val="-9"/>
        </w:rPr>
        <w:t> </w:t>
      </w:r>
      <w:r>
        <w:rPr>
          <w:color w:val="231F20"/>
        </w:rPr>
        <w:t>always</w:t>
      </w:r>
      <w:r>
        <w:rPr>
          <w:color w:val="231F20"/>
          <w:spacing w:val="-9"/>
        </w:rPr>
        <w:t> </w:t>
      </w:r>
      <w:r>
        <w:rPr>
          <w:color w:val="231F20"/>
        </w:rPr>
        <w:t>be</w:t>
      </w:r>
      <w:r>
        <w:rPr>
          <w:color w:val="231F20"/>
          <w:spacing w:val="-8"/>
        </w:rPr>
        <w:t> </w:t>
      </w:r>
      <w:r>
        <w:rPr>
          <w:color w:val="231F20"/>
        </w:rPr>
        <w:t>converted</w:t>
      </w:r>
      <w:r>
        <w:rPr>
          <w:color w:val="231F20"/>
          <w:spacing w:val="-9"/>
        </w:rPr>
        <w:t> </w:t>
      </w:r>
      <w:r>
        <w:rPr>
          <w:color w:val="231F20"/>
        </w:rPr>
        <w:t>to</w:t>
      </w:r>
      <w:r>
        <w:rPr>
          <w:color w:val="231F20"/>
          <w:spacing w:val="-9"/>
        </w:rPr>
        <w:t> </w:t>
      </w:r>
      <w:r>
        <w:rPr>
          <w:color w:val="231F20"/>
        </w:rPr>
        <w:t>decimals</w:t>
      </w:r>
      <w:r>
        <w:rPr>
          <w:color w:val="231F20"/>
          <w:spacing w:val="-9"/>
        </w:rPr>
        <w:t> </w:t>
      </w:r>
      <w:r>
        <w:rPr>
          <w:color w:val="231F20"/>
        </w:rPr>
        <w:t>first.</w:t>
      </w:r>
      <w:r>
        <w:rPr>
          <w:color w:val="231F20"/>
          <w:spacing w:val="-9"/>
        </w:rPr>
        <w:t> </w:t>
      </w:r>
      <w:r>
        <w:rPr>
          <w:color w:val="231F20"/>
        </w:rPr>
        <w:t>Refer</w:t>
      </w:r>
      <w:r>
        <w:rPr>
          <w:color w:val="231F20"/>
          <w:spacing w:val="-8"/>
        </w:rPr>
        <w:t> </w:t>
      </w:r>
      <w:r>
        <w:rPr>
          <w:color w:val="231F20"/>
        </w:rPr>
        <w:t>to</w:t>
      </w:r>
      <w:r>
        <w:rPr>
          <w:color w:val="231F20"/>
          <w:spacing w:val="-9"/>
        </w:rPr>
        <w:t> </w:t>
      </w:r>
      <w:r>
        <w:rPr>
          <w:color w:val="231F20"/>
        </w:rPr>
        <w:t>the</w:t>
      </w:r>
      <w:r>
        <w:rPr>
          <w:color w:val="231F20"/>
          <w:spacing w:val="-8"/>
        </w:rPr>
        <w:t> </w:t>
      </w:r>
      <w:r>
        <w:rPr>
          <w:color w:val="231F20"/>
        </w:rPr>
        <w:t>following</w:t>
      </w:r>
      <w:r>
        <w:rPr>
          <w:color w:val="231F20"/>
          <w:spacing w:val="-8"/>
        </w:rPr>
        <w:t> </w:t>
      </w:r>
      <w:r>
        <w:rPr>
          <w:color w:val="231F20"/>
        </w:rPr>
        <w:t>Table</w:t>
      </w:r>
      <w:r>
        <w:rPr>
          <w:color w:val="231F20"/>
          <w:spacing w:val="-8"/>
        </w:rPr>
        <w:t> </w:t>
      </w:r>
      <w:r>
        <w:rPr>
          <w:color w:val="231F20"/>
        </w:rPr>
        <w:t>of Common Conversions for assistance.</w:t>
      </w:r>
    </w:p>
    <w:p>
      <w:pPr>
        <w:pStyle w:val="Heading2"/>
        <w:numPr>
          <w:ilvl w:val="0"/>
          <w:numId w:val="1"/>
        </w:numPr>
        <w:tabs>
          <w:tab w:pos="282" w:val="left" w:leader="none"/>
        </w:tabs>
        <w:spacing w:line="240" w:lineRule="auto" w:before="105" w:after="0"/>
        <w:ind w:left="282" w:right="0" w:hanging="268"/>
        <w:jc w:val="left"/>
        <w:rPr>
          <w:b w:val="0"/>
        </w:rPr>
      </w:pPr>
      <w:r>
        <w:rPr>
          <w:b w:val="0"/>
          <w:color w:val="231F20"/>
        </w:rPr>
        <w:t>Converting</w:t>
      </w:r>
      <w:r>
        <w:rPr>
          <w:b w:val="0"/>
          <w:color w:val="231F20"/>
          <w:spacing w:val="-16"/>
        </w:rPr>
        <w:t> </w:t>
      </w:r>
      <w:r>
        <w:rPr>
          <w:b w:val="0"/>
          <w:color w:val="231F20"/>
        </w:rPr>
        <w:t>fractions</w:t>
      </w:r>
      <w:r>
        <w:rPr>
          <w:b w:val="0"/>
          <w:color w:val="231F20"/>
          <w:spacing w:val="-15"/>
        </w:rPr>
        <w:t> </w:t>
      </w:r>
      <w:r>
        <w:rPr>
          <w:b w:val="0"/>
          <w:color w:val="231F20"/>
        </w:rPr>
        <w:t>to</w:t>
      </w:r>
      <w:r>
        <w:rPr>
          <w:b w:val="0"/>
          <w:color w:val="231F20"/>
          <w:spacing w:val="-16"/>
        </w:rPr>
        <w:t> </w:t>
      </w:r>
      <w:r>
        <w:rPr>
          <w:b w:val="0"/>
          <w:color w:val="231F20"/>
        </w:rPr>
        <w:t>decimals:</w:t>
      </w:r>
      <w:r>
        <w:rPr>
          <w:b w:val="0"/>
          <w:color w:val="231F20"/>
          <w:spacing w:val="-16"/>
        </w:rPr>
        <w:t> </w:t>
      </w:r>
      <w:r>
        <w:rPr>
          <w:b w:val="0"/>
          <w:color w:val="231F20"/>
        </w:rPr>
        <w:t>Tables</w:t>
      </w:r>
      <w:r>
        <w:rPr>
          <w:b w:val="0"/>
          <w:color w:val="231F20"/>
          <w:spacing w:val="-15"/>
        </w:rPr>
        <w:t> </w:t>
      </w:r>
      <w:r>
        <w:rPr>
          <w:b w:val="0"/>
          <w:color w:val="231F20"/>
        </w:rPr>
        <w:t>of</w:t>
      </w:r>
      <w:r>
        <w:rPr>
          <w:b w:val="0"/>
          <w:color w:val="231F20"/>
          <w:spacing w:val="-15"/>
        </w:rPr>
        <w:t> </w:t>
      </w:r>
      <w:r>
        <w:rPr>
          <w:b w:val="0"/>
          <w:color w:val="231F20"/>
        </w:rPr>
        <w:t>common</w:t>
      </w:r>
      <w:r>
        <w:rPr>
          <w:b w:val="0"/>
          <w:color w:val="231F20"/>
          <w:spacing w:val="-16"/>
        </w:rPr>
        <w:t> </w:t>
      </w:r>
      <w:r>
        <w:rPr>
          <w:b w:val="0"/>
          <w:color w:val="231F20"/>
          <w:spacing w:val="-2"/>
        </w:rPr>
        <w:t>conversions</w:t>
      </w:r>
    </w:p>
    <w:p>
      <w:pPr>
        <w:pStyle w:val="BodyText"/>
        <w:spacing w:before="8"/>
        <w:rPr>
          <w:rFonts w:ascii="Calibri Light"/>
          <w:b w:val="0"/>
          <w:sz w:val="5"/>
        </w:rPr>
      </w:pPr>
      <w:r>
        <w:rPr>
          <w:rFonts w:ascii="Calibri Light"/>
          <w:b w:val="0"/>
          <w:sz w:val="5"/>
        </w:rPr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980694</wp:posOffset>
                </wp:positionH>
                <wp:positionV relativeFrom="paragraph">
                  <wp:posOffset>60181</wp:posOffset>
                </wp:positionV>
                <wp:extent cx="1415415" cy="1250950"/>
                <wp:effectExtent l="0" t="0" r="0" b="0"/>
                <wp:wrapTopAndBottom/>
                <wp:docPr id="4" name="Textbox 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" name="Textbox 4"/>
                      <wps:cNvSpPr txBox="1"/>
                      <wps:spPr>
                        <a:xfrm>
                          <a:off x="0" y="0"/>
                          <a:ext cx="1415415" cy="12509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10" w:type="dxa"/>
                              <w:tblBorders>
                                <w:top w:val="single" w:sz="8" w:space="0" w:color="231F20"/>
                                <w:left w:val="single" w:sz="8" w:space="0" w:color="231F20"/>
                                <w:bottom w:val="single" w:sz="8" w:space="0" w:color="231F20"/>
                                <w:right w:val="single" w:sz="8" w:space="0" w:color="231F20"/>
                                <w:insideH w:val="single" w:sz="8" w:space="0" w:color="231F20"/>
                                <w:insideV w:val="single" w:sz="8" w:space="0" w:color="231F2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1124"/>
                              <w:gridCol w:w="1084"/>
                            </w:tblGrid>
                            <w:tr>
                              <w:trPr>
                                <w:trHeight w:val="305" w:hRule="atLeast"/>
                              </w:trPr>
                              <w:tc>
                                <w:tcPr>
                                  <w:tcW w:w="1124" w:type="dxa"/>
                                </w:tcPr>
                                <w:p>
                                  <w:pPr>
                                    <w:pStyle w:val="TableParagraph"/>
                                    <w:spacing w:line="259" w:lineRule="exact"/>
                                    <w:ind w:left="80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22"/>
                                    </w:rPr>
                                    <w:t>Fraction</w:t>
                                  </w:r>
                                </w:p>
                              </w:tc>
                              <w:tc>
                                <w:tcPr>
                                  <w:tcW w:w="1084" w:type="dxa"/>
                                </w:tcPr>
                                <w:p>
                                  <w:pPr>
                                    <w:pStyle w:val="TableParagraph"/>
                                    <w:spacing w:line="259" w:lineRule="exact"/>
                                    <w:ind w:left="38" w:right="220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22"/>
                                    </w:rPr>
                                    <w:t>Decimal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05" w:hRule="atLeast"/>
                              </w:trPr>
                              <w:tc>
                                <w:tcPr>
                                  <w:tcW w:w="1124" w:type="dxa"/>
                                </w:tcPr>
                                <w:p>
                                  <w:pPr>
                                    <w:pStyle w:val="TableParagraph"/>
                                    <w:ind w:left="169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sz w:val="22"/>
                                    </w:rPr>
                                    <w:t>1/8</w:t>
                                  </w:r>
                                </w:p>
                              </w:tc>
                              <w:tc>
                                <w:tcPr>
                                  <w:tcW w:w="1084" w:type="dxa"/>
                                </w:tcPr>
                                <w:p>
                                  <w:pPr>
                                    <w:pStyle w:val="TableParagraph"/>
                                    <w:ind w:right="220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22"/>
                                    </w:rPr>
                                    <w:t>0.125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05" w:hRule="atLeast"/>
                              </w:trPr>
                              <w:tc>
                                <w:tcPr>
                                  <w:tcW w:w="1124" w:type="dxa"/>
                                </w:tcPr>
                                <w:p>
                                  <w:pPr>
                                    <w:pStyle w:val="TableParagraph"/>
                                    <w:ind w:left="169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sz w:val="22"/>
                                    </w:rPr>
                                    <w:t>2/8</w:t>
                                  </w:r>
                                </w:p>
                              </w:tc>
                              <w:tc>
                                <w:tcPr>
                                  <w:tcW w:w="1084" w:type="dxa"/>
                                </w:tcPr>
                                <w:p>
                                  <w:pPr>
                                    <w:pStyle w:val="TableParagraph"/>
                                    <w:ind w:right="220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22"/>
                                    </w:rPr>
                                    <w:t>0.250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05" w:hRule="atLeast"/>
                              </w:trPr>
                              <w:tc>
                                <w:tcPr>
                                  <w:tcW w:w="1124" w:type="dxa"/>
                                </w:tcPr>
                                <w:p>
                                  <w:pPr>
                                    <w:pStyle w:val="TableParagraph"/>
                                    <w:ind w:left="169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sz w:val="22"/>
                                    </w:rPr>
                                    <w:t>3/8</w:t>
                                  </w:r>
                                </w:p>
                              </w:tc>
                              <w:tc>
                                <w:tcPr>
                                  <w:tcW w:w="1084" w:type="dxa"/>
                                </w:tcPr>
                                <w:p>
                                  <w:pPr>
                                    <w:pStyle w:val="TableParagraph"/>
                                    <w:ind w:right="220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22"/>
                                    </w:rPr>
                                    <w:t>0.375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05" w:hRule="atLeast"/>
                              </w:trPr>
                              <w:tc>
                                <w:tcPr>
                                  <w:tcW w:w="1124" w:type="dxa"/>
                                </w:tcPr>
                                <w:p>
                                  <w:pPr>
                                    <w:pStyle w:val="TableParagraph"/>
                                    <w:ind w:left="169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sz w:val="22"/>
                                    </w:rPr>
                                    <w:t>4/8</w:t>
                                  </w:r>
                                </w:p>
                              </w:tc>
                              <w:tc>
                                <w:tcPr>
                                  <w:tcW w:w="1084" w:type="dxa"/>
                                </w:tcPr>
                                <w:p>
                                  <w:pPr>
                                    <w:pStyle w:val="TableParagraph"/>
                                    <w:ind w:right="220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22"/>
                                    </w:rPr>
                                    <w:t>0.500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05" w:hRule="atLeast"/>
                              </w:trPr>
                              <w:tc>
                                <w:tcPr>
                                  <w:tcW w:w="1124" w:type="dxa"/>
                                </w:tcPr>
                                <w:p>
                                  <w:pPr>
                                    <w:pStyle w:val="TableParagraph"/>
                                    <w:ind w:left="169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sz w:val="22"/>
                                    </w:rPr>
                                    <w:t>5/8</w:t>
                                  </w:r>
                                </w:p>
                              </w:tc>
                              <w:tc>
                                <w:tcPr>
                                  <w:tcW w:w="1084" w:type="dxa"/>
                                </w:tcPr>
                                <w:p>
                                  <w:pPr>
                                    <w:pStyle w:val="TableParagraph"/>
                                    <w:ind w:right="220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22"/>
                                    </w:rPr>
                                    <w:t>0.625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7.220001pt;margin-top:4.738672pt;width:111.45pt;height:98.5pt;mso-position-horizontal-relative:page;mso-position-vertical-relative:paragraph;z-index:-15728640;mso-wrap-distance-left:0;mso-wrap-distance-right:0" type="#_x0000_t202" id="docshape4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10" w:type="dxa"/>
                        <w:tblBorders>
                          <w:top w:val="single" w:sz="8" w:space="0" w:color="231F20"/>
                          <w:left w:val="single" w:sz="8" w:space="0" w:color="231F20"/>
                          <w:bottom w:val="single" w:sz="8" w:space="0" w:color="231F20"/>
                          <w:right w:val="single" w:sz="8" w:space="0" w:color="231F20"/>
                          <w:insideH w:val="single" w:sz="8" w:space="0" w:color="231F20"/>
                          <w:insideV w:val="single" w:sz="8" w:space="0" w:color="231F2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1124"/>
                        <w:gridCol w:w="1084"/>
                      </w:tblGrid>
                      <w:tr>
                        <w:trPr>
                          <w:trHeight w:val="305" w:hRule="atLeast"/>
                        </w:trPr>
                        <w:tc>
                          <w:tcPr>
                            <w:tcW w:w="1124" w:type="dxa"/>
                          </w:tcPr>
                          <w:p>
                            <w:pPr>
                              <w:pStyle w:val="TableParagraph"/>
                              <w:spacing w:line="259" w:lineRule="exact"/>
                              <w:ind w:left="80"/>
                              <w:rPr>
                                <w:sz w:val="22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22"/>
                              </w:rPr>
                              <w:t>Fraction</w:t>
                            </w:r>
                          </w:p>
                        </w:tc>
                        <w:tc>
                          <w:tcPr>
                            <w:tcW w:w="1084" w:type="dxa"/>
                          </w:tcPr>
                          <w:p>
                            <w:pPr>
                              <w:pStyle w:val="TableParagraph"/>
                              <w:spacing w:line="259" w:lineRule="exact"/>
                              <w:ind w:left="38" w:right="220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22"/>
                              </w:rPr>
                              <w:t>Decimal</w:t>
                            </w:r>
                          </w:p>
                        </w:tc>
                      </w:tr>
                      <w:tr>
                        <w:trPr>
                          <w:trHeight w:val="305" w:hRule="atLeast"/>
                        </w:trPr>
                        <w:tc>
                          <w:tcPr>
                            <w:tcW w:w="1124" w:type="dxa"/>
                          </w:tcPr>
                          <w:p>
                            <w:pPr>
                              <w:pStyle w:val="TableParagraph"/>
                              <w:ind w:left="169"/>
                              <w:rPr>
                                <w:sz w:val="22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sz w:val="22"/>
                              </w:rPr>
                              <w:t>1/8</w:t>
                            </w:r>
                          </w:p>
                        </w:tc>
                        <w:tc>
                          <w:tcPr>
                            <w:tcW w:w="1084" w:type="dxa"/>
                          </w:tcPr>
                          <w:p>
                            <w:pPr>
                              <w:pStyle w:val="TableParagraph"/>
                              <w:ind w:right="220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22"/>
                              </w:rPr>
                              <w:t>0.125</w:t>
                            </w:r>
                          </w:p>
                        </w:tc>
                      </w:tr>
                      <w:tr>
                        <w:trPr>
                          <w:trHeight w:val="305" w:hRule="atLeast"/>
                        </w:trPr>
                        <w:tc>
                          <w:tcPr>
                            <w:tcW w:w="1124" w:type="dxa"/>
                          </w:tcPr>
                          <w:p>
                            <w:pPr>
                              <w:pStyle w:val="TableParagraph"/>
                              <w:ind w:left="169"/>
                              <w:rPr>
                                <w:sz w:val="22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sz w:val="22"/>
                              </w:rPr>
                              <w:t>2/8</w:t>
                            </w:r>
                          </w:p>
                        </w:tc>
                        <w:tc>
                          <w:tcPr>
                            <w:tcW w:w="1084" w:type="dxa"/>
                          </w:tcPr>
                          <w:p>
                            <w:pPr>
                              <w:pStyle w:val="TableParagraph"/>
                              <w:ind w:right="220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22"/>
                              </w:rPr>
                              <w:t>0.250</w:t>
                            </w:r>
                          </w:p>
                        </w:tc>
                      </w:tr>
                      <w:tr>
                        <w:trPr>
                          <w:trHeight w:val="305" w:hRule="atLeast"/>
                        </w:trPr>
                        <w:tc>
                          <w:tcPr>
                            <w:tcW w:w="1124" w:type="dxa"/>
                          </w:tcPr>
                          <w:p>
                            <w:pPr>
                              <w:pStyle w:val="TableParagraph"/>
                              <w:ind w:left="169"/>
                              <w:rPr>
                                <w:sz w:val="22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sz w:val="22"/>
                              </w:rPr>
                              <w:t>3/8</w:t>
                            </w:r>
                          </w:p>
                        </w:tc>
                        <w:tc>
                          <w:tcPr>
                            <w:tcW w:w="1084" w:type="dxa"/>
                          </w:tcPr>
                          <w:p>
                            <w:pPr>
                              <w:pStyle w:val="TableParagraph"/>
                              <w:ind w:right="220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22"/>
                              </w:rPr>
                              <w:t>0.375</w:t>
                            </w:r>
                          </w:p>
                        </w:tc>
                      </w:tr>
                      <w:tr>
                        <w:trPr>
                          <w:trHeight w:val="305" w:hRule="atLeast"/>
                        </w:trPr>
                        <w:tc>
                          <w:tcPr>
                            <w:tcW w:w="1124" w:type="dxa"/>
                          </w:tcPr>
                          <w:p>
                            <w:pPr>
                              <w:pStyle w:val="TableParagraph"/>
                              <w:ind w:left="169"/>
                              <w:rPr>
                                <w:sz w:val="22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sz w:val="22"/>
                              </w:rPr>
                              <w:t>4/8</w:t>
                            </w:r>
                          </w:p>
                        </w:tc>
                        <w:tc>
                          <w:tcPr>
                            <w:tcW w:w="1084" w:type="dxa"/>
                          </w:tcPr>
                          <w:p>
                            <w:pPr>
                              <w:pStyle w:val="TableParagraph"/>
                              <w:ind w:right="220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22"/>
                              </w:rPr>
                              <w:t>0.500</w:t>
                            </w:r>
                          </w:p>
                        </w:tc>
                      </w:tr>
                      <w:tr>
                        <w:trPr>
                          <w:trHeight w:val="305" w:hRule="atLeast"/>
                        </w:trPr>
                        <w:tc>
                          <w:tcPr>
                            <w:tcW w:w="1124" w:type="dxa"/>
                          </w:tcPr>
                          <w:p>
                            <w:pPr>
                              <w:pStyle w:val="TableParagraph"/>
                              <w:ind w:left="169"/>
                              <w:rPr>
                                <w:sz w:val="22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sz w:val="22"/>
                              </w:rPr>
                              <w:t>5/8</w:t>
                            </w:r>
                          </w:p>
                        </w:tc>
                        <w:tc>
                          <w:tcPr>
                            <w:tcW w:w="1084" w:type="dxa"/>
                          </w:tcPr>
                          <w:p>
                            <w:pPr>
                              <w:pStyle w:val="TableParagraph"/>
                              <w:ind w:right="220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22"/>
                              </w:rPr>
                              <w:t>0.625</w:t>
                            </w: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ascii="Calibri Light"/>
          <w:b w:val="0"/>
          <w:sz w:val="5"/>
        </w:rPr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2704845</wp:posOffset>
                </wp:positionH>
                <wp:positionV relativeFrom="paragraph">
                  <wp:posOffset>59419</wp:posOffset>
                </wp:positionV>
                <wp:extent cx="1415415" cy="1457325"/>
                <wp:effectExtent l="0" t="0" r="0" b="0"/>
                <wp:wrapTopAndBottom/>
                <wp:docPr id="5" name="Textbox 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" name="Textbox 5"/>
                      <wps:cNvSpPr txBox="1"/>
                      <wps:spPr>
                        <a:xfrm>
                          <a:off x="0" y="0"/>
                          <a:ext cx="1415415" cy="14573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10" w:type="dxa"/>
                              <w:tblBorders>
                                <w:top w:val="single" w:sz="8" w:space="0" w:color="231F20"/>
                                <w:left w:val="single" w:sz="8" w:space="0" w:color="231F20"/>
                                <w:bottom w:val="single" w:sz="8" w:space="0" w:color="231F20"/>
                                <w:right w:val="single" w:sz="8" w:space="0" w:color="231F20"/>
                                <w:insideH w:val="single" w:sz="8" w:space="0" w:color="231F20"/>
                                <w:insideV w:val="single" w:sz="8" w:space="0" w:color="231F2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1124"/>
                              <w:gridCol w:w="1084"/>
                            </w:tblGrid>
                            <w:tr>
                              <w:trPr>
                                <w:trHeight w:val="305" w:hRule="atLeast"/>
                              </w:trPr>
                              <w:tc>
                                <w:tcPr>
                                  <w:tcW w:w="1124" w:type="dxa"/>
                                </w:tcPr>
                                <w:p>
                                  <w:pPr>
                                    <w:pStyle w:val="TableParagraph"/>
                                    <w:spacing w:line="259" w:lineRule="exact"/>
                                    <w:ind w:left="80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22"/>
                                    </w:rPr>
                                    <w:t>Fraction</w:t>
                                  </w:r>
                                </w:p>
                              </w:tc>
                              <w:tc>
                                <w:tcPr>
                                  <w:tcW w:w="1084" w:type="dxa"/>
                                </w:tcPr>
                                <w:p>
                                  <w:pPr>
                                    <w:pStyle w:val="TableParagraph"/>
                                    <w:spacing w:line="259" w:lineRule="exact"/>
                                    <w:ind w:left="38" w:right="220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22"/>
                                    </w:rPr>
                                    <w:t>Decimal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05" w:hRule="atLeast"/>
                              </w:trPr>
                              <w:tc>
                                <w:tcPr>
                                  <w:tcW w:w="1124" w:type="dxa"/>
                                </w:tcPr>
                                <w:p>
                                  <w:pPr>
                                    <w:pStyle w:val="TableParagraph"/>
                                    <w:ind w:left="169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sz w:val="22"/>
                                    </w:rPr>
                                    <w:t>1/4</w:t>
                                  </w:r>
                                </w:p>
                              </w:tc>
                              <w:tc>
                                <w:tcPr>
                                  <w:tcW w:w="1084" w:type="dxa"/>
                                </w:tcPr>
                                <w:p>
                                  <w:pPr>
                                    <w:pStyle w:val="TableParagraph"/>
                                    <w:ind w:right="220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22"/>
                                    </w:rPr>
                                    <w:t>0.250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05" w:hRule="atLeast"/>
                              </w:trPr>
                              <w:tc>
                                <w:tcPr>
                                  <w:tcW w:w="1124" w:type="dxa"/>
                                </w:tcPr>
                                <w:p>
                                  <w:pPr>
                                    <w:pStyle w:val="TableParagraph"/>
                                    <w:ind w:left="169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sz w:val="22"/>
                                    </w:rPr>
                                    <w:t>2/4</w:t>
                                  </w:r>
                                </w:p>
                              </w:tc>
                              <w:tc>
                                <w:tcPr>
                                  <w:tcW w:w="1084" w:type="dxa"/>
                                </w:tcPr>
                                <w:p>
                                  <w:pPr>
                                    <w:pStyle w:val="TableParagraph"/>
                                    <w:ind w:right="220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22"/>
                                    </w:rPr>
                                    <w:t>0.500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05" w:hRule="atLeast"/>
                              </w:trPr>
                              <w:tc>
                                <w:tcPr>
                                  <w:tcW w:w="1124" w:type="dxa"/>
                                </w:tcPr>
                                <w:p>
                                  <w:pPr>
                                    <w:pStyle w:val="TableParagraph"/>
                                    <w:ind w:left="169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sz w:val="22"/>
                                    </w:rPr>
                                    <w:t>3/4</w:t>
                                  </w:r>
                                </w:p>
                              </w:tc>
                              <w:tc>
                                <w:tcPr>
                                  <w:tcW w:w="1084" w:type="dxa"/>
                                </w:tcPr>
                                <w:p>
                                  <w:pPr>
                                    <w:pStyle w:val="TableParagraph"/>
                                    <w:ind w:right="220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22"/>
                                    </w:rPr>
                                    <w:t>0.750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05" w:hRule="atLeast"/>
                              </w:trPr>
                              <w:tc>
                                <w:tcPr>
                                  <w:tcW w:w="1124" w:type="dxa"/>
                                </w:tcPr>
                                <w:p>
                                  <w:pPr>
                                    <w:pStyle w:val="TableParagraph"/>
                                    <w:ind w:left="169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sz w:val="22"/>
                                    </w:rPr>
                                    <w:t>1/3</w:t>
                                  </w:r>
                                </w:p>
                              </w:tc>
                              <w:tc>
                                <w:tcPr>
                                  <w:tcW w:w="1084" w:type="dxa"/>
                                </w:tcPr>
                                <w:p>
                                  <w:pPr>
                                    <w:pStyle w:val="TableParagraph"/>
                                    <w:ind w:right="220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22"/>
                                    </w:rPr>
                                    <w:t>0.333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05" w:hRule="atLeast"/>
                              </w:trPr>
                              <w:tc>
                                <w:tcPr>
                                  <w:tcW w:w="1124" w:type="dxa"/>
                                </w:tcPr>
                                <w:p>
                                  <w:pPr>
                                    <w:pStyle w:val="TableParagraph"/>
                                    <w:ind w:left="169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sz w:val="22"/>
                                    </w:rPr>
                                    <w:t>2/3</w:t>
                                  </w:r>
                                </w:p>
                              </w:tc>
                              <w:tc>
                                <w:tcPr>
                                  <w:tcW w:w="1084" w:type="dxa"/>
                                </w:tcPr>
                                <w:p>
                                  <w:pPr>
                                    <w:pStyle w:val="TableParagraph"/>
                                    <w:ind w:right="220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22"/>
                                    </w:rPr>
                                    <w:t>0.667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05" w:hRule="atLeast"/>
                              </w:trPr>
                              <w:tc>
                                <w:tcPr>
                                  <w:tcW w:w="1124" w:type="dxa"/>
                                </w:tcPr>
                                <w:p>
                                  <w:pPr>
                                    <w:pStyle w:val="TableParagraph"/>
                                    <w:ind w:left="169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  <w:sz w:val="22"/>
                                    </w:rPr>
                                    <w:t>1/2</w:t>
                                  </w:r>
                                </w:p>
                              </w:tc>
                              <w:tc>
                                <w:tcPr>
                                  <w:tcW w:w="1084" w:type="dxa"/>
                                </w:tcPr>
                                <w:p>
                                  <w:pPr>
                                    <w:pStyle w:val="TableParagraph"/>
                                    <w:ind w:right="220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  <w:sz w:val="22"/>
                                    </w:rPr>
                                    <w:t>0.500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12.979996pt;margin-top:4.678672pt;width:111.45pt;height:114.75pt;mso-position-horizontal-relative:page;mso-position-vertical-relative:paragraph;z-index:-15728640;mso-wrap-distance-left:0;mso-wrap-distance-right:0" type="#_x0000_t202" id="docshape5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10" w:type="dxa"/>
                        <w:tblBorders>
                          <w:top w:val="single" w:sz="8" w:space="0" w:color="231F20"/>
                          <w:left w:val="single" w:sz="8" w:space="0" w:color="231F20"/>
                          <w:bottom w:val="single" w:sz="8" w:space="0" w:color="231F20"/>
                          <w:right w:val="single" w:sz="8" w:space="0" w:color="231F20"/>
                          <w:insideH w:val="single" w:sz="8" w:space="0" w:color="231F20"/>
                          <w:insideV w:val="single" w:sz="8" w:space="0" w:color="231F2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1124"/>
                        <w:gridCol w:w="1084"/>
                      </w:tblGrid>
                      <w:tr>
                        <w:trPr>
                          <w:trHeight w:val="305" w:hRule="atLeast"/>
                        </w:trPr>
                        <w:tc>
                          <w:tcPr>
                            <w:tcW w:w="1124" w:type="dxa"/>
                          </w:tcPr>
                          <w:p>
                            <w:pPr>
                              <w:pStyle w:val="TableParagraph"/>
                              <w:spacing w:line="259" w:lineRule="exact"/>
                              <w:ind w:left="80"/>
                              <w:rPr>
                                <w:sz w:val="22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22"/>
                              </w:rPr>
                              <w:t>Fraction</w:t>
                            </w:r>
                          </w:p>
                        </w:tc>
                        <w:tc>
                          <w:tcPr>
                            <w:tcW w:w="1084" w:type="dxa"/>
                          </w:tcPr>
                          <w:p>
                            <w:pPr>
                              <w:pStyle w:val="TableParagraph"/>
                              <w:spacing w:line="259" w:lineRule="exact"/>
                              <w:ind w:left="38" w:right="220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22"/>
                              </w:rPr>
                              <w:t>Decimal</w:t>
                            </w:r>
                          </w:p>
                        </w:tc>
                      </w:tr>
                      <w:tr>
                        <w:trPr>
                          <w:trHeight w:val="305" w:hRule="atLeast"/>
                        </w:trPr>
                        <w:tc>
                          <w:tcPr>
                            <w:tcW w:w="1124" w:type="dxa"/>
                          </w:tcPr>
                          <w:p>
                            <w:pPr>
                              <w:pStyle w:val="TableParagraph"/>
                              <w:ind w:left="169"/>
                              <w:rPr>
                                <w:sz w:val="22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sz w:val="22"/>
                              </w:rPr>
                              <w:t>1/4</w:t>
                            </w:r>
                          </w:p>
                        </w:tc>
                        <w:tc>
                          <w:tcPr>
                            <w:tcW w:w="1084" w:type="dxa"/>
                          </w:tcPr>
                          <w:p>
                            <w:pPr>
                              <w:pStyle w:val="TableParagraph"/>
                              <w:ind w:right="220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22"/>
                              </w:rPr>
                              <w:t>0.250</w:t>
                            </w:r>
                          </w:p>
                        </w:tc>
                      </w:tr>
                      <w:tr>
                        <w:trPr>
                          <w:trHeight w:val="305" w:hRule="atLeast"/>
                        </w:trPr>
                        <w:tc>
                          <w:tcPr>
                            <w:tcW w:w="1124" w:type="dxa"/>
                          </w:tcPr>
                          <w:p>
                            <w:pPr>
                              <w:pStyle w:val="TableParagraph"/>
                              <w:ind w:left="169"/>
                              <w:rPr>
                                <w:sz w:val="22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sz w:val="22"/>
                              </w:rPr>
                              <w:t>2/4</w:t>
                            </w:r>
                          </w:p>
                        </w:tc>
                        <w:tc>
                          <w:tcPr>
                            <w:tcW w:w="1084" w:type="dxa"/>
                          </w:tcPr>
                          <w:p>
                            <w:pPr>
                              <w:pStyle w:val="TableParagraph"/>
                              <w:ind w:right="220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22"/>
                              </w:rPr>
                              <w:t>0.500</w:t>
                            </w:r>
                          </w:p>
                        </w:tc>
                      </w:tr>
                      <w:tr>
                        <w:trPr>
                          <w:trHeight w:val="305" w:hRule="atLeast"/>
                        </w:trPr>
                        <w:tc>
                          <w:tcPr>
                            <w:tcW w:w="1124" w:type="dxa"/>
                          </w:tcPr>
                          <w:p>
                            <w:pPr>
                              <w:pStyle w:val="TableParagraph"/>
                              <w:ind w:left="169"/>
                              <w:rPr>
                                <w:sz w:val="22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sz w:val="22"/>
                              </w:rPr>
                              <w:t>3/4</w:t>
                            </w:r>
                          </w:p>
                        </w:tc>
                        <w:tc>
                          <w:tcPr>
                            <w:tcW w:w="1084" w:type="dxa"/>
                          </w:tcPr>
                          <w:p>
                            <w:pPr>
                              <w:pStyle w:val="TableParagraph"/>
                              <w:ind w:right="220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22"/>
                              </w:rPr>
                              <w:t>0.750</w:t>
                            </w:r>
                          </w:p>
                        </w:tc>
                      </w:tr>
                      <w:tr>
                        <w:trPr>
                          <w:trHeight w:val="305" w:hRule="atLeast"/>
                        </w:trPr>
                        <w:tc>
                          <w:tcPr>
                            <w:tcW w:w="1124" w:type="dxa"/>
                          </w:tcPr>
                          <w:p>
                            <w:pPr>
                              <w:pStyle w:val="TableParagraph"/>
                              <w:ind w:left="169"/>
                              <w:rPr>
                                <w:sz w:val="22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sz w:val="22"/>
                              </w:rPr>
                              <w:t>1/3</w:t>
                            </w:r>
                          </w:p>
                        </w:tc>
                        <w:tc>
                          <w:tcPr>
                            <w:tcW w:w="1084" w:type="dxa"/>
                          </w:tcPr>
                          <w:p>
                            <w:pPr>
                              <w:pStyle w:val="TableParagraph"/>
                              <w:ind w:right="220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22"/>
                              </w:rPr>
                              <w:t>0.333</w:t>
                            </w:r>
                          </w:p>
                        </w:tc>
                      </w:tr>
                      <w:tr>
                        <w:trPr>
                          <w:trHeight w:val="305" w:hRule="atLeast"/>
                        </w:trPr>
                        <w:tc>
                          <w:tcPr>
                            <w:tcW w:w="1124" w:type="dxa"/>
                          </w:tcPr>
                          <w:p>
                            <w:pPr>
                              <w:pStyle w:val="TableParagraph"/>
                              <w:ind w:left="169"/>
                              <w:rPr>
                                <w:sz w:val="22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sz w:val="22"/>
                              </w:rPr>
                              <w:t>2/3</w:t>
                            </w:r>
                          </w:p>
                        </w:tc>
                        <w:tc>
                          <w:tcPr>
                            <w:tcW w:w="1084" w:type="dxa"/>
                          </w:tcPr>
                          <w:p>
                            <w:pPr>
                              <w:pStyle w:val="TableParagraph"/>
                              <w:ind w:right="220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22"/>
                              </w:rPr>
                              <w:t>0.667</w:t>
                            </w:r>
                          </w:p>
                        </w:tc>
                      </w:tr>
                      <w:tr>
                        <w:trPr>
                          <w:trHeight w:val="305" w:hRule="atLeast"/>
                        </w:trPr>
                        <w:tc>
                          <w:tcPr>
                            <w:tcW w:w="1124" w:type="dxa"/>
                          </w:tcPr>
                          <w:p>
                            <w:pPr>
                              <w:pStyle w:val="TableParagraph"/>
                              <w:ind w:left="169"/>
                              <w:rPr>
                                <w:sz w:val="22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sz w:val="22"/>
                              </w:rPr>
                              <w:t>1/2</w:t>
                            </w:r>
                          </w:p>
                        </w:tc>
                        <w:tc>
                          <w:tcPr>
                            <w:tcW w:w="1084" w:type="dxa"/>
                          </w:tcPr>
                          <w:p>
                            <w:pPr>
                              <w:pStyle w:val="TableParagraph"/>
                              <w:ind w:right="220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22"/>
                              </w:rPr>
                              <w:t>0.500</w:t>
                            </w: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</w:p>
    <w:p>
      <w:pPr>
        <w:pStyle w:val="Heading2"/>
        <w:numPr>
          <w:ilvl w:val="0"/>
          <w:numId w:val="1"/>
        </w:numPr>
        <w:tabs>
          <w:tab w:pos="281" w:val="left" w:leader="none"/>
        </w:tabs>
        <w:spacing w:line="240" w:lineRule="auto" w:before="99" w:after="0"/>
        <w:ind w:left="281" w:right="0" w:hanging="267"/>
        <w:jc w:val="left"/>
        <w:rPr>
          <w:b w:val="0"/>
        </w:rPr>
      </w:pPr>
      <w:r>
        <w:rPr>
          <w:b w:val="0"/>
          <w:color w:val="231F20"/>
        </w:rPr>
        <w:t>Converting</w:t>
      </w:r>
      <w:r>
        <w:rPr>
          <w:b w:val="0"/>
          <w:color w:val="231F20"/>
          <w:spacing w:val="-12"/>
        </w:rPr>
        <w:t> </w:t>
      </w:r>
      <w:r>
        <w:rPr>
          <w:b w:val="0"/>
          <w:color w:val="231F20"/>
        </w:rPr>
        <w:t>inches</w:t>
      </w:r>
      <w:r>
        <w:rPr>
          <w:b w:val="0"/>
          <w:color w:val="231F20"/>
          <w:spacing w:val="-12"/>
        </w:rPr>
        <w:t> </w:t>
      </w:r>
      <w:r>
        <w:rPr>
          <w:b w:val="0"/>
          <w:color w:val="231F20"/>
        </w:rPr>
        <w:t>to</w:t>
      </w:r>
      <w:r>
        <w:rPr>
          <w:b w:val="0"/>
          <w:color w:val="231F20"/>
          <w:spacing w:val="-12"/>
        </w:rPr>
        <w:t> </w:t>
      </w:r>
      <w:r>
        <w:rPr>
          <w:b w:val="0"/>
          <w:color w:val="231F20"/>
        </w:rPr>
        <w:t>square</w:t>
      </w:r>
      <w:r>
        <w:rPr>
          <w:b w:val="0"/>
          <w:color w:val="231F20"/>
          <w:spacing w:val="-13"/>
        </w:rPr>
        <w:t> </w:t>
      </w:r>
      <w:r>
        <w:rPr>
          <w:b w:val="0"/>
          <w:color w:val="231F20"/>
        </w:rPr>
        <w:t>feet</w:t>
      </w:r>
      <w:r>
        <w:rPr>
          <w:b w:val="0"/>
          <w:color w:val="231F20"/>
          <w:spacing w:val="-12"/>
        </w:rPr>
        <w:t> </w:t>
      </w:r>
      <w:r>
        <w:rPr>
          <w:b w:val="0"/>
          <w:color w:val="231F20"/>
          <w:spacing w:val="-4"/>
        </w:rPr>
        <w:t>(ft</w:t>
      </w:r>
      <w:r>
        <w:rPr>
          <w:b w:val="0"/>
          <w:color w:val="231F20"/>
          <w:spacing w:val="-4"/>
          <w:vertAlign w:val="superscript"/>
        </w:rPr>
        <w:t>2</w:t>
      </w:r>
      <w:r>
        <w:rPr>
          <w:b w:val="0"/>
          <w:color w:val="231F20"/>
          <w:spacing w:val="-4"/>
          <w:vertAlign w:val="baseline"/>
        </w:rPr>
        <w:t>)</w:t>
      </w:r>
    </w:p>
    <w:p>
      <w:pPr>
        <w:pStyle w:val="BodyText"/>
        <w:spacing w:line="232" w:lineRule="auto" w:before="72"/>
        <w:ind w:left="104"/>
      </w:pPr>
      <w:r>
        <w:rPr>
          <w:color w:val="231F20"/>
        </w:rPr>
        <w:t>If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3"/>
        </w:rPr>
        <w:t> </w:t>
      </w:r>
      <w:r>
        <w:rPr>
          <w:color w:val="231F20"/>
        </w:rPr>
        <w:t>area</w:t>
      </w:r>
      <w:r>
        <w:rPr>
          <w:color w:val="231F20"/>
          <w:spacing w:val="-4"/>
        </w:rPr>
        <w:t> </w:t>
      </w:r>
      <w:r>
        <w:rPr>
          <w:color w:val="231F20"/>
        </w:rPr>
        <w:t>you</w:t>
      </w:r>
      <w:r>
        <w:rPr>
          <w:color w:val="231F20"/>
          <w:spacing w:val="-4"/>
        </w:rPr>
        <w:t> </w:t>
      </w:r>
      <w:r>
        <w:rPr>
          <w:color w:val="231F20"/>
        </w:rPr>
        <w:t>sampled</w:t>
      </w:r>
      <w:r>
        <w:rPr>
          <w:color w:val="231F20"/>
          <w:spacing w:val="-4"/>
        </w:rPr>
        <w:t> </w:t>
      </w:r>
      <w:r>
        <w:rPr>
          <w:color w:val="231F20"/>
        </w:rPr>
        <w:t>was</w:t>
      </w:r>
      <w:r>
        <w:rPr>
          <w:color w:val="231F20"/>
          <w:spacing w:val="-4"/>
        </w:rPr>
        <w:t> </w:t>
      </w:r>
      <w:r>
        <w:rPr>
          <w:color w:val="231F20"/>
        </w:rPr>
        <w:t>not</w:t>
      </w:r>
      <w:r>
        <w:rPr>
          <w:color w:val="231F20"/>
          <w:spacing w:val="-3"/>
        </w:rPr>
        <w:t> </w:t>
      </w:r>
      <w:r>
        <w:rPr>
          <w:color w:val="231F20"/>
        </w:rPr>
        <w:t>a</w:t>
      </w:r>
      <w:r>
        <w:rPr>
          <w:color w:val="231F20"/>
          <w:spacing w:val="-4"/>
        </w:rPr>
        <w:t> </w:t>
      </w:r>
      <w:r>
        <w:rPr>
          <w:color w:val="231F20"/>
        </w:rPr>
        <w:t>square</w:t>
      </w:r>
      <w:r>
        <w:rPr>
          <w:color w:val="231F20"/>
          <w:spacing w:val="-3"/>
        </w:rPr>
        <w:t> </w:t>
      </w:r>
      <w:r>
        <w:rPr>
          <w:color w:val="231F20"/>
        </w:rPr>
        <w:t>foot,</w:t>
      </w:r>
      <w:r>
        <w:rPr>
          <w:color w:val="231F20"/>
          <w:spacing w:val="-3"/>
        </w:rPr>
        <w:t> </w:t>
      </w:r>
      <w:r>
        <w:rPr>
          <w:color w:val="231F20"/>
        </w:rPr>
        <w:t>you</w:t>
      </w:r>
      <w:r>
        <w:rPr>
          <w:color w:val="231F20"/>
          <w:spacing w:val="-4"/>
        </w:rPr>
        <w:t> </w:t>
      </w:r>
      <w:r>
        <w:rPr>
          <w:color w:val="231F20"/>
        </w:rPr>
        <w:t>will</w:t>
      </w:r>
      <w:r>
        <w:rPr>
          <w:color w:val="231F20"/>
          <w:spacing w:val="-4"/>
        </w:rPr>
        <w:t> </w:t>
      </w:r>
      <w:r>
        <w:rPr>
          <w:color w:val="231F20"/>
        </w:rPr>
        <w:t>need</w:t>
      </w:r>
      <w:r>
        <w:rPr>
          <w:color w:val="231F20"/>
          <w:spacing w:val="-4"/>
        </w:rPr>
        <w:t> </w:t>
      </w:r>
      <w:r>
        <w:rPr>
          <w:color w:val="231F20"/>
        </w:rPr>
        <w:t>to</w:t>
      </w:r>
      <w:r>
        <w:rPr>
          <w:color w:val="231F20"/>
          <w:spacing w:val="-4"/>
        </w:rPr>
        <w:t> </w:t>
      </w:r>
      <w:r>
        <w:rPr>
          <w:color w:val="231F20"/>
        </w:rPr>
        <w:t>convert</w:t>
      </w:r>
      <w:r>
        <w:rPr>
          <w:color w:val="231F20"/>
          <w:spacing w:val="-3"/>
        </w:rPr>
        <w:t> </w:t>
      </w:r>
      <w:r>
        <w:rPr>
          <w:color w:val="231F20"/>
        </w:rPr>
        <w:t>it</w:t>
      </w:r>
      <w:r>
        <w:rPr>
          <w:color w:val="231F20"/>
          <w:spacing w:val="-3"/>
        </w:rPr>
        <w:t> </w:t>
      </w:r>
      <w:r>
        <w:rPr>
          <w:color w:val="231F20"/>
        </w:rPr>
        <w:t>to</w:t>
      </w:r>
      <w:r>
        <w:rPr>
          <w:color w:val="231F20"/>
          <w:spacing w:val="-4"/>
        </w:rPr>
        <w:t> </w:t>
      </w:r>
      <w:r>
        <w:rPr>
          <w:color w:val="231F20"/>
        </w:rPr>
        <w:t>this</w:t>
      </w:r>
      <w:r>
        <w:rPr>
          <w:color w:val="231F20"/>
          <w:spacing w:val="-4"/>
        </w:rPr>
        <w:t> </w:t>
      </w:r>
      <w:r>
        <w:rPr>
          <w:color w:val="231F20"/>
        </w:rPr>
        <w:t>dimension.</w:t>
      </w:r>
      <w:r>
        <w:rPr>
          <w:color w:val="231F20"/>
          <w:spacing w:val="-4"/>
        </w:rPr>
        <w:t> </w:t>
      </w:r>
      <w:r>
        <w:rPr>
          <w:color w:val="231F20"/>
        </w:rPr>
        <w:t>One</w:t>
      </w:r>
      <w:r>
        <w:rPr>
          <w:color w:val="231F20"/>
          <w:spacing w:val="-3"/>
        </w:rPr>
        <w:t> </w:t>
      </w:r>
      <w:r>
        <w:rPr>
          <w:color w:val="231F20"/>
        </w:rPr>
        <w:t>foot</w:t>
      </w:r>
      <w:r>
        <w:rPr>
          <w:color w:val="231F20"/>
          <w:spacing w:val="-3"/>
        </w:rPr>
        <w:t> </w:t>
      </w:r>
      <w:r>
        <w:rPr>
          <w:color w:val="231F20"/>
        </w:rPr>
        <w:t>equals</w:t>
      </w:r>
      <w:r>
        <w:rPr>
          <w:color w:val="231F20"/>
          <w:spacing w:val="-4"/>
        </w:rPr>
        <w:t> </w:t>
      </w:r>
      <w:r>
        <w:rPr>
          <w:color w:val="231F20"/>
        </w:rPr>
        <w:t>12 inches, and 1 square foot equals 144 square inches.</w:t>
      </w:r>
    </w:p>
    <w:p>
      <w:pPr>
        <w:pStyle w:val="ListParagraph"/>
        <w:numPr>
          <w:ilvl w:val="1"/>
          <w:numId w:val="1"/>
        </w:numPr>
        <w:tabs>
          <w:tab w:pos="553" w:val="left" w:leader="none"/>
        </w:tabs>
        <w:spacing w:line="240" w:lineRule="auto" w:before="83" w:after="0"/>
        <w:ind w:left="553" w:right="0" w:hanging="179"/>
        <w:jc w:val="left"/>
        <w:rPr>
          <w:sz w:val="22"/>
        </w:rPr>
      </w:pPr>
      <w:r>
        <w:rPr>
          <w:color w:val="231F20"/>
          <w:sz w:val="22"/>
        </w:rPr>
        <w:t>Record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sample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area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inches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(in)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opposed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feet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(ft).</w:t>
      </w:r>
    </w:p>
    <w:p>
      <w:pPr>
        <w:pStyle w:val="ListParagraph"/>
        <w:numPr>
          <w:ilvl w:val="1"/>
          <w:numId w:val="1"/>
        </w:numPr>
        <w:tabs>
          <w:tab w:pos="553" w:val="left" w:leader="none"/>
        </w:tabs>
        <w:spacing w:line="240" w:lineRule="auto" w:before="63" w:after="0"/>
        <w:ind w:left="553" w:right="0" w:hanging="179"/>
        <w:jc w:val="left"/>
        <w:rPr>
          <w:sz w:val="22"/>
        </w:rPr>
      </w:pPr>
      <w:r>
        <w:rPr>
          <w:color w:val="231F20"/>
          <w:sz w:val="22"/>
        </w:rPr>
        <w:t>Convert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sample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area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square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inches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(in²).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Round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number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maximum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three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decimal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places.</w:t>
      </w:r>
    </w:p>
    <w:p>
      <w:pPr>
        <w:pStyle w:val="ListParagraph"/>
        <w:numPr>
          <w:ilvl w:val="1"/>
          <w:numId w:val="1"/>
        </w:numPr>
        <w:tabs>
          <w:tab w:pos="554" w:val="left" w:leader="none"/>
        </w:tabs>
        <w:spacing w:line="304" w:lineRule="auto" w:before="64" w:after="37"/>
        <w:ind w:left="554" w:right="388" w:hanging="180"/>
        <w:jc w:val="left"/>
        <w:rPr>
          <w:sz w:val="22"/>
        </w:rPr>
      </w:pPr>
      <w:r>
        <w:rPr>
          <w:color w:val="231F20"/>
          <w:sz w:val="22"/>
        </w:rPr>
        <w:t>Divide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square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inches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by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144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get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square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feet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(ft²).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Round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number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maximum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three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decimal </w:t>
      </w:r>
      <w:r>
        <w:rPr>
          <w:color w:val="231F20"/>
          <w:spacing w:val="-2"/>
          <w:sz w:val="22"/>
        </w:rPr>
        <w:t>places.</w:t>
      </w:r>
    </w:p>
    <w:tbl>
      <w:tblPr>
        <w:tblW w:w="0" w:type="auto"/>
        <w:jc w:val="left"/>
        <w:tblInd w:w="484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37"/>
        <w:gridCol w:w="4565"/>
        <w:gridCol w:w="3330"/>
      </w:tblGrid>
      <w:tr>
        <w:trPr>
          <w:trHeight w:val="305" w:hRule="atLeast"/>
        </w:trPr>
        <w:tc>
          <w:tcPr>
            <w:tcW w:w="937" w:type="dxa"/>
            <w:shd w:val="clear" w:color="auto" w:fill="C9CDD1"/>
          </w:tcPr>
          <w:p>
            <w:pPr>
              <w:pStyle w:val="TableParagraph"/>
              <w:spacing w:line="259" w:lineRule="exact"/>
              <w:ind w:left="109" w:right="90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4"/>
                <w:sz w:val="22"/>
              </w:rPr>
              <w:t>Step</w:t>
            </w:r>
          </w:p>
        </w:tc>
        <w:tc>
          <w:tcPr>
            <w:tcW w:w="4565" w:type="dxa"/>
            <w:shd w:val="clear" w:color="auto" w:fill="C9CDD1"/>
          </w:tcPr>
          <w:p>
            <w:pPr>
              <w:pStyle w:val="TableParagraph"/>
              <w:spacing w:line="259" w:lineRule="exact"/>
              <w:ind w:left="567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Steps</w:t>
            </w:r>
            <w:r>
              <w:rPr>
                <w:b/>
                <w:color w:val="231F20"/>
                <w:spacing w:val="-5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to</w:t>
            </w:r>
            <w:r>
              <w:rPr>
                <w:b/>
                <w:color w:val="231F20"/>
                <w:spacing w:val="-4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convert</w:t>
            </w:r>
            <w:r>
              <w:rPr>
                <w:b/>
                <w:color w:val="231F20"/>
                <w:spacing w:val="-5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inches</w:t>
            </w:r>
            <w:r>
              <w:rPr>
                <w:b/>
                <w:color w:val="231F20"/>
                <w:spacing w:val="-4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to</w:t>
            </w:r>
            <w:r>
              <w:rPr>
                <w:b/>
                <w:color w:val="231F20"/>
                <w:spacing w:val="-4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square</w:t>
            </w:r>
            <w:r>
              <w:rPr>
                <w:b/>
                <w:color w:val="231F20"/>
                <w:spacing w:val="-5"/>
                <w:sz w:val="22"/>
              </w:rPr>
              <w:t> </w:t>
            </w:r>
            <w:r>
              <w:rPr>
                <w:b/>
                <w:color w:val="231F20"/>
                <w:spacing w:val="-4"/>
                <w:sz w:val="22"/>
              </w:rPr>
              <w:t>feet</w:t>
            </w:r>
          </w:p>
        </w:tc>
        <w:tc>
          <w:tcPr>
            <w:tcW w:w="3330" w:type="dxa"/>
            <w:shd w:val="clear" w:color="auto" w:fill="C9CDD1"/>
          </w:tcPr>
          <w:p>
            <w:pPr>
              <w:pStyle w:val="TableParagraph"/>
              <w:spacing w:line="259" w:lineRule="exact"/>
              <w:ind w:left="19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2"/>
                <w:sz w:val="22"/>
              </w:rPr>
              <w:t>Calculation</w:t>
            </w:r>
          </w:p>
        </w:tc>
      </w:tr>
      <w:tr>
        <w:trPr>
          <w:trHeight w:val="765" w:hRule="atLeast"/>
        </w:trPr>
        <w:tc>
          <w:tcPr>
            <w:tcW w:w="937" w:type="dxa"/>
          </w:tcPr>
          <w:p>
            <w:pPr>
              <w:pStyle w:val="TableParagraph"/>
              <w:spacing w:line="240" w:lineRule="auto" w:before="255"/>
              <w:ind w:left="109"/>
              <w:jc w:val="center"/>
              <w:rPr>
                <w:sz w:val="22"/>
              </w:rPr>
            </w:pPr>
            <w:r>
              <w:rPr>
                <w:color w:val="231F20"/>
                <w:spacing w:val="-10"/>
                <w:sz w:val="22"/>
              </w:rPr>
              <w:t>1</w:t>
            </w:r>
          </w:p>
        </w:tc>
        <w:tc>
          <w:tcPr>
            <w:tcW w:w="4565" w:type="dxa"/>
          </w:tcPr>
          <w:p>
            <w:pPr>
              <w:pStyle w:val="TableParagraph"/>
              <w:spacing w:line="240" w:lineRule="auto" w:before="255"/>
              <w:ind w:left="269"/>
              <w:rPr>
                <w:sz w:val="22"/>
              </w:rPr>
            </w:pPr>
            <w:r>
              <w:rPr>
                <w:color w:val="231F20"/>
                <w:sz w:val="22"/>
              </w:rPr>
              <w:t>Dimensions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of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sample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area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in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inches</w:t>
            </w:r>
            <w:r>
              <w:rPr>
                <w:color w:val="231F20"/>
                <w:spacing w:val="-4"/>
                <w:sz w:val="22"/>
              </w:rPr>
              <w:t> (in)</w:t>
            </w:r>
          </w:p>
        </w:tc>
        <w:tc>
          <w:tcPr>
            <w:tcW w:w="3330" w:type="dxa"/>
          </w:tcPr>
          <w:p>
            <w:pPr>
              <w:pStyle w:val="TableParagraph"/>
              <w:tabs>
                <w:tab w:pos="1527" w:val="left" w:leader="none"/>
              </w:tabs>
              <w:spacing w:line="232" w:lineRule="auto" w:before="132"/>
              <w:ind w:left="269" w:right="1558"/>
              <w:rPr>
                <w:sz w:val="22"/>
              </w:rPr>
            </w:pPr>
            <w:r>
              <w:rPr>
                <w:color w:val="231F20"/>
                <w:sz w:val="22"/>
              </w:rPr>
              <w:t>Length: </w:t>
            </w:r>
            <w:r>
              <w:rPr>
                <w:rFonts w:ascii="Times New Roman"/>
                <w:color w:val="231F20"/>
                <w:sz w:val="22"/>
                <w:u w:val="single" w:color="221E1F"/>
              </w:rPr>
              <w:tab/>
            </w:r>
            <w:r>
              <w:rPr>
                <w:rFonts w:ascii="Times New Roman"/>
                <w:color w:val="231F20"/>
                <w:spacing w:val="-50"/>
                <w:sz w:val="22"/>
                <w:u w:val="single" w:color="221E1F"/>
              </w:rPr>
              <w:t> </w:t>
            </w:r>
            <w:r>
              <w:rPr>
                <w:rFonts w:ascii="Times New Roman"/>
                <w:color w:val="231F20"/>
                <w:spacing w:val="-14"/>
                <w:sz w:val="22"/>
                <w:u w:val="none"/>
              </w:rPr>
              <w:t> </w:t>
            </w:r>
            <w:r>
              <w:rPr>
                <w:color w:val="231F20"/>
                <w:sz w:val="22"/>
                <w:u w:val="none"/>
              </w:rPr>
              <w:t>in Width:</w:t>
            </w:r>
            <w:r>
              <w:rPr>
                <w:color w:val="231F20"/>
                <w:spacing w:val="40"/>
                <w:sz w:val="22"/>
                <w:u w:val="none"/>
              </w:rPr>
              <w:t> </w:t>
            </w:r>
            <w:r>
              <w:rPr>
                <w:rFonts w:ascii="Times New Roman"/>
                <w:color w:val="231F20"/>
                <w:sz w:val="22"/>
                <w:u w:val="single" w:color="221E1F"/>
              </w:rPr>
              <w:tab/>
            </w:r>
            <w:r>
              <w:rPr>
                <w:rFonts w:ascii="Times New Roman"/>
                <w:color w:val="231F20"/>
                <w:spacing w:val="-14"/>
                <w:sz w:val="22"/>
                <w:u w:val="none"/>
              </w:rPr>
              <w:t> </w:t>
            </w:r>
            <w:r>
              <w:rPr>
                <w:color w:val="231F20"/>
                <w:sz w:val="22"/>
                <w:u w:val="none"/>
              </w:rPr>
              <w:t>in</w:t>
            </w:r>
          </w:p>
        </w:tc>
      </w:tr>
      <w:tr>
        <w:trPr>
          <w:trHeight w:val="765" w:hRule="atLeast"/>
        </w:trPr>
        <w:tc>
          <w:tcPr>
            <w:tcW w:w="937" w:type="dxa"/>
          </w:tcPr>
          <w:p>
            <w:pPr>
              <w:pStyle w:val="TableParagraph"/>
              <w:spacing w:line="240" w:lineRule="auto" w:before="255"/>
              <w:ind w:left="109"/>
              <w:jc w:val="center"/>
              <w:rPr>
                <w:sz w:val="22"/>
              </w:rPr>
            </w:pPr>
            <w:r>
              <w:rPr>
                <w:color w:val="231F20"/>
                <w:spacing w:val="-10"/>
                <w:sz w:val="22"/>
              </w:rPr>
              <w:t>2</w:t>
            </w:r>
          </w:p>
        </w:tc>
        <w:tc>
          <w:tcPr>
            <w:tcW w:w="4565" w:type="dxa"/>
          </w:tcPr>
          <w:p>
            <w:pPr>
              <w:pStyle w:val="TableParagraph"/>
              <w:spacing w:line="232" w:lineRule="auto" w:before="131"/>
              <w:ind w:left="269" w:right="227"/>
              <w:rPr>
                <w:sz w:val="22"/>
              </w:rPr>
            </w:pPr>
            <w:r>
              <w:rPr>
                <w:color w:val="231F20"/>
                <w:sz w:val="22"/>
              </w:rPr>
              <w:t>Multiply</w:t>
            </w:r>
            <w:r>
              <w:rPr>
                <w:color w:val="231F20"/>
                <w:spacing w:val="-8"/>
                <w:sz w:val="22"/>
              </w:rPr>
              <w:t> </w:t>
            </w:r>
            <w:r>
              <w:rPr>
                <w:color w:val="231F20"/>
                <w:sz w:val="22"/>
              </w:rPr>
              <w:t>length</w:t>
            </w:r>
            <w:r>
              <w:rPr>
                <w:color w:val="231F20"/>
                <w:spacing w:val="-9"/>
                <w:sz w:val="22"/>
              </w:rPr>
              <w:t> </w:t>
            </w:r>
            <w:r>
              <w:rPr>
                <w:color w:val="231F20"/>
                <w:sz w:val="22"/>
              </w:rPr>
              <w:t>times</w:t>
            </w:r>
            <w:r>
              <w:rPr>
                <w:color w:val="231F20"/>
                <w:spacing w:val="-9"/>
                <w:sz w:val="22"/>
              </w:rPr>
              <w:t> </w:t>
            </w:r>
            <w:r>
              <w:rPr>
                <w:color w:val="231F20"/>
                <w:sz w:val="22"/>
              </w:rPr>
              <w:t>width</w:t>
            </w:r>
            <w:r>
              <w:rPr>
                <w:color w:val="231F20"/>
                <w:spacing w:val="-9"/>
                <w:sz w:val="22"/>
              </w:rPr>
              <w:t> </w:t>
            </w:r>
            <w:r>
              <w:rPr>
                <w:color w:val="231F20"/>
                <w:sz w:val="22"/>
              </w:rPr>
              <w:t>to</w:t>
            </w:r>
            <w:r>
              <w:rPr>
                <w:color w:val="231F20"/>
                <w:spacing w:val="-9"/>
                <w:sz w:val="22"/>
              </w:rPr>
              <w:t> </w:t>
            </w:r>
            <w:r>
              <w:rPr>
                <w:color w:val="231F20"/>
                <w:sz w:val="22"/>
              </w:rPr>
              <w:t>calculate</w:t>
            </w:r>
            <w:r>
              <w:rPr>
                <w:color w:val="231F20"/>
                <w:spacing w:val="-8"/>
                <w:sz w:val="22"/>
              </w:rPr>
              <w:t> </w:t>
            </w:r>
            <w:r>
              <w:rPr>
                <w:color w:val="231F20"/>
                <w:sz w:val="22"/>
              </w:rPr>
              <w:t>the area in square inches (in²)</w:t>
            </w:r>
          </w:p>
        </w:tc>
        <w:tc>
          <w:tcPr>
            <w:tcW w:w="3330" w:type="dxa"/>
          </w:tcPr>
          <w:p>
            <w:pPr>
              <w:pStyle w:val="TableParagraph"/>
              <w:tabs>
                <w:tab w:pos="598" w:val="left" w:leader="none"/>
                <w:tab w:pos="1351" w:val="left" w:leader="none"/>
                <w:tab w:pos="2164" w:val="left" w:leader="none"/>
              </w:tabs>
              <w:spacing w:line="240" w:lineRule="auto" w:before="255"/>
              <w:ind w:left="269"/>
              <w:rPr>
                <w:sz w:val="22"/>
              </w:rPr>
            </w:pPr>
            <w:r>
              <w:rPr>
                <w:rFonts w:ascii="Times New Roman" w:hAnsi="Times New Roman"/>
                <w:color w:val="231F20"/>
                <w:sz w:val="22"/>
                <w:u w:val="single" w:color="221E1F"/>
              </w:rPr>
              <w:tab/>
            </w:r>
            <w:r>
              <w:rPr>
                <w:rFonts w:ascii="Times New Roman" w:hAnsi="Times New Roman"/>
                <w:color w:val="231F20"/>
                <w:sz w:val="22"/>
                <w:u w:val="none"/>
              </w:rPr>
              <w:t> </w:t>
            </w:r>
            <w:r>
              <w:rPr>
                <w:color w:val="231F20"/>
                <w:sz w:val="22"/>
                <w:u w:val="none"/>
              </w:rPr>
              <w:t>in × </w:t>
            </w:r>
            <w:r>
              <w:rPr>
                <w:rFonts w:ascii="Times New Roman" w:hAnsi="Times New Roman"/>
                <w:color w:val="231F20"/>
                <w:sz w:val="22"/>
                <w:u w:val="single" w:color="221E1F"/>
              </w:rPr>
              <w:tab/>
            </w:r>
            <w:r>
              <w:rPr>
                <w:color w:val="231F20"/>
                <w:sz w:val="22"/>
                <w:u w:val="none"/>
              </w:rPr>
              <w:t>in = </w:t>
            </w:r>
            <w:r>
              <w:rPr>
                <w:rFonts w:ascii="Times New Roman" w:hAnsi="Times New Roman"/>
                <w:color w:val="231F20"/>
                <w:sz w:val="22"/>
                <w:u w:val="single" w:color="221E1F"/>
              </w:rPr>
              <w:tab/>
            </w:r>
            <w:r>
              <w:rPr>
                <w:rFonts w:ascii="Times New Roman" w:hAnsi="Times New Roman"/>
                <w:color w:val="231F20"/>
                <w:sz w:val="22"/>
                <w:u w:val="none"/>
              </w:rPr>
              <w:t> </w:t>
            </w:r>
            <w:r>
              <w:rPr>
                <w:color w:val="231F20"/>
                <w:sz w:val="22"/>
                <w:u w:val="none"/>
              </w:rPr>
              <w:t>in²</w:t>
            </w:r>
          </w:p>
        </w:tc>
      </w:tr>
      <w:tr>
        <w:trPr>
          <w:trHeight w:val="765" w:hRule="atLeast"/>
        </w:trPr>
        <w:tc>
          <w:tcPr>
            <w:tcW w:w="937" w:type="dxa"/>
          </w:tcPr>
          <w:p>
            <w:pPr>
              <w:pStyle w:val="TableParagraph"/>
              <w:spacing w:line="240" w:lineRule="auto" w:before="255"/>
              <w:ind w:left="109"/>
              <w:jc w:val="center"/>
              <w:rPr>
                <w:sz w:val="22"/>
              </w:rPr>
            </w:pPr>
            <w:r>
              <w:rPr>
                <w:color w:val="231F20"/>
                <w:spacing w:val="-10"/>
                <w:sz w:val="22"/>
              </w:rPr>
              <w:t>3</w:t>
            </w:r>
          </w:p>
        </w:tc>
        <w:tc>
          <w:tcPr>
            <w:tcW w:w="4565" w:type="dxa"/>
          </w:tcPr>
          <w:p>
            <w:pPr>
              <w:pStyle w:val="TableParagraph"/>
              <w:spacing w:line="232" w:lineRule="auto" w:before="131"/>
              <w:ind w:left="269" w:right="227"/>
              <w:rPr>
                <w:sz w:val="22"/>
              </w:rPr>
            </w:pPr>
            <w:r>
              <w:rPr>
                <w:color w:val="231F20"/>
                <w:sz w:val="22"/>
              </w:rPr>
              <w:t>Divide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the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area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in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square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inches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(in²)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by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144 to calculate the area in square feet (ft²)</w:t>
            </w:r>
          </w:p>
        </w:tc>
        <w:tc>
          <w:tcPr>
            <w:tcW w:w="3330" w:type="dxa"/>
          </w:tcPr>
          <w:p>
            <w:pPr>
              <w:pStyle w:val="TableParagraph"/>
              <w:tabs>
                <w:tab w:pos="707" w:val="left" w:leader="none"/>
                <w:tab w:pos="2188" w:val="left" w:leader="none"/>
              </w:tabs>
              <w:spacing w:line="240" w:lineRule="auto" w:before="255"/>
              <w:ind w:left="269"/>
              <w:rPr>
                <w:sz w:val="22"/>
              </w:rPr>
            </w:pPr>
            <w:r>
              <w:rPr>
                <w:rFonts w:ascii="Times New Roman" w:hAnsi="Times New Roman"/>
                <w:color w:val="231F20"/>
                <w:sz w:val="22"/>
                <w:u w:val="single" w:color="221E1F"/>
              </w:rPr>
              <w:tab/>
            </w:r>
            <w:r>
              <w:rPr>
                <w:rFonts w:ascii="Times New Roman" w:hAnsi="Times New Roman"/>
                <w:color w:val="231F20"/>
                <w:sz w:val="22"/>
                <w:u w:val="none"/>
              </w:rPr>
              <w:t> </w:t>
            </w:r>
            <w:r>
              <w:rPr>
                <w:color w:val="231F20"/>
                <w:sz w:val="22"/>
                <w:u w:val="none"/>
              </w:rPr>
              <w:t>in² ÷ 144 = </w:t>
            </w:r>
            <w:r>
              <w:rPr>
                <w:rFonts w:ascii="Times New Roman" w:hAnsi="Times New Roman"/>
                <w:color w:val="231F20"/>
                <w:sz w:val="22"/>
                <w:u w:val="single" w:color="221E1F"/>
              </w:rPr>
              <w:tab/>
            </w:r>
            <w:r>
              <w:rPr>
                <w:rFonts w:ascii="Times New Roman" w:hAnsi="Times New Roman"/>
                <w:color w:val="231F20"/>
                <w:sz w:val="22"/>
                <w:u w:val="none"/>
              </w:rPr>
              <w:t> </w:t>
            </w:r>
            <w:r>
              <w:rPr>
                <w:color w:val="231F20"/>
                <w:sz w:val="22"/>
                <w:u w:val="none"/>
              </w:rPr>
              <w:t>ft²</w:t>
            </w:r>
          </w:p>
        </w:tc>
      </w:tr>
    </w:tbl>
    <w:p>
      <w:pPr>
        <w:pStyle w:val="BodyText"/>
        <w:spacing w:before="175"/>
      </w:pPr>
    </w:p>
    <w:p>
      <w:pPr>
        <w:pStyle w:val="Heading2"/>
        <w:numPr>
          <w:ilvl w:val="0"/>
          <w:numId w:val="1"/>
        </w:numPr>
        <w:tabs>
          <w:tab w:pos="281" w:val="left" w:leader="none"/>
        </w:tabs>
        <w:spacing w:line="240" w:lineRule="auto" w:before="0" w:after="0"/>
        <w:ind w:left="281" w:right="0" w:hanging="267"/>
        <w:jc w:val="left"/>
        <w:rPr>
          <w:b w:val="0"/>
        </w:rPr>
      </w:pPr>
      <w:r>
        <w:rPr>
          <w:b w:val="0"/>
          <w:color w:val="231F20"/>
          <w:spacing w:val="-2"/>
        </w:rPr>
        <w:t>Example</w:t>
      </w:r>
    </w:p>
    <w:p>
      <w:pPr>
        <w:pStyle w:val="BodyText"/>
        <w:spacing w:before="66"/>
        <w:ind w:left="104"/>
      </w:pPr>
      <w:r>
        <w:rPr>
          <w:color w:val="231F20"/>
        </w:rPr>
        <w:t>Convert</w:t>
      </w:r>
      <w:r>
        <w:rPr>
          <w:color w:val="231F20"/>
          <w:spacing w:val="-5"/>
        </w:rPr>
        <w:t> </w:t>
      </w:r>
      <w:r>
        <w:rPr>
          <w:color w:val="231F20"/>
        </w:rPr>
        <w:t>an</w:t>
      </w:r>
      <w:r>
        <w:rPr>
          <w:color w:val="231F20"/>
          <w:spacing w:val="-3"/>
        </w:rPr>
        <w:t> </w:t>
      </w:r>
      <w:r>
        <w:rPr>
          <w:color w:val="231F20"/>
        </w:rPr>
        <w:t>area</w:t>
      </w:r>
      <w:r>
        <w:rPr>
          <w:color w:val="231F20"/>
          <w:spacing w:val="-4"/>
        </w:rPr>
        <w:t> </w:t>
      </w:r>
      <w:r>
        <w:rPr>
          <w:color w:val="231F20"/>
        </w:rPr>
        <w:t>with</w:t>
      </w:r>
      <w:r>
        <w:rPr>
          <w:color w:val="231F20"/>
          <w:spacing w:val="-3"/>
        </w:rPr>
        <w:t> </w:t>
      </w:r>
      <w:r>
        <w:rPr>
          <w:color w:val="231F20"/>
        </w:rPr>
        <w:t>length</w:t>
      </w:r>
      <w:r>
        <w:rPr>
          <w:color w:val="231F20"/>
          <w:spacing w:val="-3"/>
        </w:rPr>
        <w:t> </w:t>
      </w:r>
      <w:r>
        <w:rPr>
          <w:color w:val="231F20"/>
        </w:rPr>
        <w:t>of</w:t>
      </w:r>
      <w:r>
        <w:rPr>
          <w:color w:val="231F20"/>
          <w:spacing w:val="-4"/>
        </w:rPr>
        <w:t> </w:t>
      </w:r>
      <w:r>
        <w:rPr>
          <w:color w:val="231F20"/>
        </w:rPr>
        <w:t>20</w:t>
      </w:r>
      <w:r>
        <w:rPr>
          <w:color w:val="231F20"/>
          <w:spacing w:val="-2"/>
        </w:rPr>
        <w:t> </w:t>
      </w:r>
      <w:r>
        <w:rPr>
          <w:color w:val="231F20"/>
        </w:rPr>
        <w:t>½</w:t>
      </w:r>
      <w:r>
        <w:rPr>
          <w:color w:val="231F20"/>
          <w:spacing w:val="-4"/>
        </w:rPr>
        <w:t> </w:t>
      </w:r>
      <w:r>
        <w:rPr>
          <w:color w:val="231F20"/>
        </w:rPr>
        <w:t>inches</w:t>
      </w:r>
      <w:r>
        <w:rPr>
          <w:color w:val="231F20"/>
          <w:spacing w:val="-3"/>
        </w:rPr>
        <w:t> </w:t>
      </w:r>
      <w:r>
        <w:rPr>
          <w:color w:val="231F20"/>
        </w:rPr>
        <w:t>and</w:t>
      </w:r>
      <w:r>
        <w:rPr>
          <w:color w:val="231F20"/>
          <w:spacing w:val="-3"/>
        </w:rPr>
        <w:t> </w:t>
      </w:r>
      <w:r>
        <w:rPr>
          <w:color w:val="231F20"/>
        </w:rPr>
        <w:t>a</w:t>
      </w:r>
      <w:r>
        <w:rPr>
          <w:color w:val="231F20"/>
          <w:spacing w:val="-4"/>
        </w:rPr>
        <w:t> </w:t>
      </w:r>
      <w:r>
        <w:rPr>
          <w:color w:val="231F20"/>
        </w:rPr>
        <w:t>width</w:t>
      </w:r>
      <w:r>
        <w:rPr>
          <w:color w:val="231F20"/>
          <w:spacing w:val="-3"/>
        </w:rPr>
        <w:t> </w:t>
      </w:r>
      <w:r>
        <w:rPr>
          <w:color w:val="231F20"/>
        </w:rPr>
        <w:t>of</w:t>
      </w:r>
      <w:r>
        <w:rPr>
          <w:color w:val="231F20"/>
          <w:spacing w:val="-4"/>
        </w:rPr>
        <w:t> </w:t>
      </w:r>
      <w:r>
        <w:rPr>
          <w:color w:val="231F20"/>
        </w:rPr>
        <w:t>5</w:t>
      </w:r>
      <w:r>
        <w:rPr>
          <w:color w:val="231F20"/>
          <w:spacing w:val="-2"/>
        </w:rPr>
        <w:t> </w:t>
      </w:r>
      <w:r>
        <w:rPr>
          <w:color w:val="231F20"/>
        </w:rPr>
        <w:t>¼</w:t>
      </w:r>
      <w:r>
        <w:rPr>
          <w:color w:val="231F20"/>
          <w:spacing w:val="-3"/>
        </w:rPr>
        <w:t> </w:t>
      </w:r>
      <w:r>
        <w:rPr>
          <w:color w:val="231F20"/>
        </w:rPr>
        <w:t>inches</w:t>
      </w:r>
      <w:r>
        <w:rPr>
          <w:color w:val="231F20"/>
          <w:spacing w:val="-4"/>
        </w:rPr>
        <w:t> </w:t>
      </w:r>
      <w:r>
        <w:rPr>
          <w:color w:val="231F20"/>
        </w:rPr>
        <w:t>to</w:t>
      </w:r>
      <w:r>
        <w:rPr>
          <w:color w:val="231F20"/>
          <w:spacing w:val="-3"/>
        </w:rPr>
        <w:t> </w:t>
      </w:r>
      <w:r>
        <w:rPr>
          <w:color w:val="231F20"/>
        </w:rPr>
        <w:t>square</w:t>
      </w:r>
      <w:r>
        <w:rPr>
          <w:color w:val="231F20"/>
          <w:spacing w:val="-2"/>
        </w:rPr>
        <w:t> feet.</w:t>
      </w:r>
    </w:p>
    <w:p>
      <w:pPr>
        <w:pStyle w:val="ListParagraph"/>
        <w:numPr>
          <w:ilvl w:val="0"/>
          <w:numId w:val="2"/>
        </w:numPr>
        <w:tabs>
          <w:tab w:pos="642" w:val="left" w:leader="none"/>
        </w:tabs>
        <w:spacing w:line="240" w:lineRule="auto" w:before="81" w:after="0"/>
        <w:ind w:left="642" w:right="0" w:hanging="268"/>
        <w:jc w:val="left"/>
        <w:rPr>
          <w:sz w:val="22"/>
        </w:rPr>
      </w:pPr>
      <w:r>
        <w:rPr>
          <w:color w:val="231F20"/>
          <w:sz w:val="22"/>
        </w:rPr>
        <w:t>Convert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fractions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decimals: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20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½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20.500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5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¼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5.250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5"/>
          <w:sz w:val="22"/>
        </w:rPr>
        <w:t>in</w:t>
      </w:r>
    </w:p>
    <w:p>
      <w:pPr>
        <w:pStyle w:val="ListParagraph"/>
        <w:numPr>
          <w:ilvl w:val="0"/>
          <w:numId w:val="2"/>
        </w:numPr>
        <w:tabs>
          <w:tab w:pos="642" w:val="left" w:leader="none"/>
        </w:tabs>
        <w:spacing w:line="240" w:lineRule="auto" w:before="64" w:after="0"/>
        <w:ind w:left="642" w:right="0" w:hanging="268"/>
        <w:jc w:val="left"/>
        <w:rPr>
          <w:sz w:val="22"/>
        </w:rPr>
      </w:pPr>
      <w:r>
        <w:rPr>
          <w:color w:val="231F20"/>
          <w:sz w:val="22"/>
        </w:rPr>
        <w:t>Calculate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area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square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inches: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20.500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×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5.250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=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107.625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5"/>
          <w:sz w:val="22"/>
        </w:rPr>
        <w:t>in²</w:t>
      </w:r>
    </w:p>
    <w:p>
      <w:pPr>
        <w:pStyle w:val="ListParagraph"/>
        <w:numPr>
          <w:ilvl w:val="0"/>
          <w:numId w:val="2"/>
        </w:numPr>
        <w:tabs>
          <w:tab w:pos="642" w:val="left" w:leader="none"/>
        </w:tabs>
        <w:spacing w:line="240" w:lineRule="auto" w:before="63" w:after="0"/>
        <w:ind w:left="642" w:right="0" w:hanging="268"/>
        <w:jc w:val="left"/>
        <w:rPr>
          <w:sz w:val="22"/>
        </w:rPr>
      </w:pPr>
      <w:r>
        <w:rPr>
          <w:color w:val="231F20"/>
          <w:sz w:val="22"/>
        </w:rPr>
        <w:t>Calculate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area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square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feet: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107.625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in²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÷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144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=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0.747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5"/>
          <w:sz w:val="22"/>
        </w:rPr>
        <w:t>ft²</w:t>
      </w:r>
    </w:p>
    <w:sectPr>
      <w:footerReference w:type="default" r:id="rId5"/>
      <w:type w:val="continuous"/>
      <w:pgSz w:w="12240" w:h="15840"/>
      <w:pgMar w:header="0" w:footer="471" w:top="620" w:bottom="660" w:left="1080" w:right="720"/>
      <w:pgNumType w:start="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alibri">
    <w:altName w:val="Calibri"/>
    <w:charset w:val="0"/>
    <w:family w:val="swiss"/>
    <w:pitch w:val="variable"/>
  </w:font>
  <w:font w:name="Calibri Light">
    <w:altName w:val="Calibri Light"/>
    <w:charset w:val="0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92608">
              <wp:simplePos x="0" y="0"/>
              <wp:positionH relativeFrom="page">
                <wp:posOffset>3661155</wp:posOffset>
              </wp:positionH>
              <wp:positionV relativeFrom="page">
                <wp:posOffset>9619508</wp:posOffset>
              </wp:positionV>
              <wp:extent cx="425450" cy="127000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42545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83" w:lineRule="exact" w:before="0"/>
                            <w:ind w:left="20" w:right="0" w:firstLine="0"/>
                            <w:jc w:val="left"/>
                            <w:rPr>
                              <w:rFonts w:ascii="Calibri Light"/>
                              <w:b w:val="0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b w:val="0"/>
                              <w:color w:val="808285"/>
                              <w:sz w:val="16"/>
                            </w:rPr>
                            <w:t>Chapter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5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10"/>
                              <w:sz w:val="16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288.279999pt;margin-top:757.441589pt;width:33.5pt;height:10pt;mso-position-horizontal-relative:page;mso-position-vertical-relative:page;z-index:-15823872" type="#_x0000_t202" id="docshape1" filled="false" stroked="false">
              <v:textbox inset="0,0,0,0">
                <w:txbxContent>
                  <w:p>
                    <w:pPr>
                      <w:spacing w:line="183" w:lineRule="exact" w:before="0"/>
                      <w:ind w:left="20" w:right="0" w:firstLine="0"/>
                      <w:jc w:val="left"/>
                      <w:rPr>
                        <w:rFonts w:ascii="Calibri Light"/>
                        <w:b w:val="0"/>
                        <w:sz w:val="16"/>
                      </w:rPr>
                    </w:pPr>
                    <w:r>
                      <w:rPr>
                        <w:rFonts w:ascii="Calibri Light"/>
                        <w:b w:val="0"/>
                        <w:color w:val="808285"/>
                        <w:sz w:val="16"/>
                      </w:rPr>
                      <w:t>Chapter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5"/>
                        <w:sz w:val="16"/>
                      </w:rPr>
                      <w:t> 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10"/>
                        <w:sz w:val="16"/>
                      </w:rPr>
                      <w:t>3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93120">
              <wp:simplePos x="0" y="0"/>
              <wp:positionH relativeFrom="page">
                <wp:posOffset>5671820</wp:posOffset>
              </wp:positionH>
              <wp:positionV relativeFrom="page">
                <wp:posOffset>9619508</wp:posOffset>
              </wp:positionV>
              <wp:extent cx="1503045" cy="127000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1503045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83" w:lineRule="exact" w:before="0"/>
                            <w:ind w:left="20" w:right="0" w:firstLine="0"/>
                            <w:jc w:val="left"/>
                            <w:rPr>
                              <w:rFonts w:ascii="Calibri Light"/>
                              <w:b w:val="0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b w:val="0"/>
                              <w:color w:val="808285"/>
                              <w:sz w:val="16"/>
                            </w:rPr>
                            <w:t>Lead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5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z w:val="16"/>
                            </w:rPr>
                            <w:t>Dust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4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z w:val="16"/>
                            </w:rPr>
                            <w:t>Sampling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5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z w:val="16"/>
                            </w:rPr>
                            <w:t>Technician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4"/>
                              <w:sz w:val="16"/>
                            </w:rPr>
                            <w:t> 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446.600006pt;margin-top:757.441589pt;width:118.35pt;height:10pt;mso-position-horizontal-relative:page;mso-position-vertical-relative:page;z-index:-15823360" type="#_x0000_t202" id="docshape2" filled="false" stroked="false">
              <v:textbox inset="0,0,0,0">
                <w:txbxContent>
                  <w:p>
                    <w:pPr>
                      <w:spacing w:line="183" w:lineRule="exact" w:before="0"/>
                      <w:ind w:left="20" w:right="0" w:firstLine="0"/>
                      <w:jc w:val="left"/>
                      <w:rPr>
                        <w:rFonts w:ascii="Calibri Light"/>
                        <w:b w:val="0"/>
                        <w:sz w:val="16"/>
                      </w:rPr>
                    </w:pPr>
                    <w:r>
                      <w:rPr>
                        <w:rFonts w:ascii="Calibri Light"/>
                        <w:b w:val="0"/>
                        <w:color w:val="808285"/>
                        <w:sz w:val="16"/>
                      </w:rPr>
                      <w:t>Lead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5"/>
                        <w:sz w:val="16"/>
                      </w:rPr>
                      <w:t> </w:t>
                    </w:r>
                    <w:r>
                      <w:rPr>
                        <w:rFonts w:ascii="Calibri Light"/>
                        <w:b w:val="0"/>
                        <w:color w:val="808285"/>
                        <w:sz w:val="16"/>
                      </w:rPr>
                      <w:t>Dust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4"/>
                        <w:sz w:val="16"/>
                      </w:rPr>
                      <w:t> </w:t>
                    </w:r>
                    <w:r>
                      <w:rPr>
                        <w:rFonts w:ascii="Calibri Light"/>
                        <w:b w:val="0"/>
                        <w:color w:val="808285"/>
                        <w:sz w:val="16"/>
                      </w:rPr>
                      <w:t>Sampling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5"/>
                        <w:sz w:val="16"/>
                      </w:rPr>
                      <w:t> </w:t>
                    </w:r>
                    <w:r>
                      <w:rPr>
                        <w:rFonts w:ascii="Calibri Light"/>
                        <w:b w:val="0"/>
                        <w:color w:val="808285"/>
                        <w:sz w:val="16"/>
                      </w:rPr>
                      <w:t>Technician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4"/>
                        <w:sz w:val="16"/>
                      </w:rPr>
                      <w:t> 2026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93632">
              <wp:simplePos x="0" y="0"/>
              <wp:positionH relativeFrom="page">
                <wp:posOffset>586740</wp:posOffset>
              </wp:positionH>
              <wp:positionV relativeFrom="page">
                <wp:posOffset>9631700</wp:posOffset>
              </wp:positionV>
              <wp:extent cx="180340" cy="127000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18034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83" w:lineRule="exact" w:before="0"/>
                            <w:ind w:left="20" w:right="0" w:firstLine="0"/>
                            <w:jc w:val="left"/>
                            <w:rPr>
                              <w:rFonts w:ascii="Calibri Light"/>
                              <w:b w:val="0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5"/>
                              <w:sz w:val="16"/>
                            </w:rPr>
                            <w:t>104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46.200001pt;margin-top:758.401611pt;width:14.2pt;height:10pt;mso-position-horizontal-relative:page;mso-position-vertical-relative:page;z-index:-15822848" type="#_x0000_t202" id="docshape3" filled="false" stroked="false">
              <v:textbox inset="0,0,0,0">
                <w:txbxContent>
                  <w:p>
                    <w:pPr>
                      <w:spacing w:line="183" w:lineRule="exact" w:before="0"/>
                      <w:ind w:left="20" w:right="0" w:firstLine="0"/>
                      <w:jc w:val="left"/>
                      <w:rPr>
                        <w:rFonts w:ascii="Calibri Light"/>
                        <w:b w:val="0"/>
                        <w:sz w:val="16"/>
                      </w:rPr>
                    </w:pPr>
                    <w:r>
                      <w:rPr>
                        <w:rFonts w:ascii="Calibri Light"/>
                        <w:b w:val="0"/>
                        <w:color w:val="808285"/>
                        <w:spacing w:val="-5"/>
                        <w:sz w:val="16"/>
                      </w:rPr>
                      <w:t>104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1"/>
      <w:numFmt w:val="decimal"/>
      <w:lvlText w:val="%1."/>
      <w:lvlJc w:val="left"/>
      <w:pPr>
        <w:ind w:left="644" w:hanging="270"/>
        <w:jc w:val="left"/>
      </w:pPr>
      <w:rPr>
        <w:rFonts w:hint="default" w:ascii="Calibri" w:hAnsi="Calibri" w:eastAsia="Calibri" w:cs="Calibri"/>
        <w:b w:val="0"/>
        <w:bCs w:val="0"/>
        <w:i w:val="0"/>
        <w:iCs w:val="0"/>
        <w:color w:val="231F20"/>
        <w:spacing w:val="-1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620" w:hanging="27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600" w:hanging="27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580" w:hanging="27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560" w:hanging="27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540" w:hanging="27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520" w:hanging="27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500" w:hanging="27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480" w:hanging="270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283" w:hanging="270"/>
        <w:jc w:val="left"/>
      </w:pPr>
      <w:rPr>
        <w:rFonts w:hint="default" w:ascii="Calibri Light" w:hAnsi="Calibri Light" w:eastAsia="Calibri Light" w:cs="Calibri Light"/>
        <w:b w:val="0"/>
        <w:bCs w:val="0"/>
        <w:i w:val="0"/>
        <w:iCs w:val="0"/>
        <w:color w:val="231F20"/>
        <w:spacing w:val="-5"/>
        <w:w w:val="100"/>
        <w:sz w:val="28"/>
        <w:szCs w:val="28"/>
        <w:lang w:val="en-US" w:eastAsia="en-US" w:bidi="ar-SA"/>
      </w:rPr>
    </w:lvl>
    <w:lvl w:ilvl="1">
      <w:start w:val="0"/>
      <w:numFmt w:val="bullet"/>
      <w:lvlText w:val="•"/>
      <w:lvlJc w:val="left"/>
      <w:pPr>
        <w:ind w:left="554" w:hanging="180"/>
      </w:pPr>
      <w:rPr>
        <w:rFonts w:hint="default" w:ascii="Calibri" w:hAnsi="Calibri" w:eastAsia="Calibri" w:cs="Calibri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657" w:hanging="18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755" w:hanging="18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853" w:hanging="18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951" w:hanging="18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048" w:hanging="18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146" w:hanging="18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244" w:hanging="180"/>
      </w:pPr>
      <w:rPr>
        <w:rFonts w:hint="default"/>
        <w:lang w:val="en-US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sz w:val="22"/>
      <w:szCs w:val="22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15"/>
      <w:ind w:left="14"/>
      <w:outlineLvl w:val="1"/>
    </w:pPr>
    <w:rPr>
      <w:rFonts w:ascii="Calibri Light" w:hAnsi="Calibri Light" w:eastAsia="Calibri Light" w:cs="Calibri Light"/>
      <w:sz w:val="32"/>
      <w:szCs w:val="32"/>
      <w:lang w:val="en-US" w:eastAsia="en-US" w:bidi="ar-SA"/>
    </w:rPr>
  </w:style>
  <w:style w:styleId="Heading2" w:type="paragraph">
    <w:name w:val="Heading 2"/>
    <w:basedOn w:val="Normal"/>
    <w:uiPriority w:val="1"/>
    <w:qFormat/>
    <w:pPr>
      <w:ind w:left="281" w:hanging="267"/>
      <w:outlineLvl w:val="2"/>
    </w:pPr>
    <w:rPr>
      <w:rFonts w:ascii="Calibri Light" w:hAnsi="Calibri Light" w:eastAsia="Calibri Light" w:cs="Calibri Light"/>
      <w:sz w:val="28"/>
      <w:szCs w:val="28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spacing w:before="63"/>
      <w:ind w:left="642" w:hanging="268"/>
    </w:pPr>
    <w:rPr>
      <w:rFonts w:ascii="Calibri" w:hAnsi="Calibri" w:eastAsia="Calibri" w:cs="Calibri"/>
      <w:lang w:val="en-US" w:eastAsia="en-US" w:bidi="ar-SA"/>
    </w:rPr>
  </w:style>
  <w:style w:styleId="TableParagraph" w:type="paragraph">
    <w:name w:val="Table Paragraph"/>
    <w:basedOn w:val="Normal"/>
    <w:uiPriority w:val="1"/>
    <w:qFormat/>
    <w:pPr>
      <w:spacing w:before="25" w:line="260" w:lineRule="exact"/>
    </w:pPr>
    <w:rPr>
      <w:rFonts w:ascii="Calibri" w:hAnsi="Calibri" w:eastAsia="Calibri" w:cs="Calibri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theme" Target="theme/theme1.xml"/><Relationship Id="rId7" Type="http://schemas.openxmlformats.org/officeDocument/2006/relationships/customXml" Target="../customXml/item1.xml"/><Relationship Id="rId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numbering" Target="numbering.xml"/><Relationship Id="rId5" Type="http://schemas.openxmlformats.org/officeDocument/2006/relationships/footer" Target="footer1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E555EE6AEA6F4E90DC1EE56A20DF84" ma:contentTypeVersion="19" ma:contentTypeDescription="Create a new document." ma:contentTypeScope="" ma:versionID="8b3903ca8cc2ab29536b7201b9d6b0fe">
  <xsd:schema xmlns:xsd="http://www.w3.org/2001/XMLSchema" xmlns:xs="http://www.w3.org/2001/XMLSchema" xmlns:p="http://schemas.microsoft.com/office/2006/metadata/properties" xmlns:ns1="http://schemas.microsoft.com/sharepoint/v3" xmlns:ns2="4ffa91fb-a0ff-4ac5-b2db-65c790d184a4" xmlns:ns3="http://schemas.microsoft.com/sharepoint.v3" xmlns:ns4="http://schemas.microsoft.com/sharepoint/v3/fields" xmlns:ns5="9d61d8fb-a99e-4f97-bee3-1c0c42237d32" xmlns:ns6="8208de43-a64f-47b6-af23-f340daf30859" targetNamespace="http://schemas.microsoft.com/office/2006/metadata/properties" ma:root="true" ma:fieldsID="bcd02ee0d1e50fa71a95c671743513a5" ns1:_="" ns2:_="" ns3:_="" ns4:_="" ns5:_="" ns6:_="">
    <xsd:import namespace="http://schemas.microsoft.com/sharepoint/v3"/>
    <xsd:import namespace="4ffa91fb-a0ff-4ac5-b2db-65c790d184a4"/>
    <xsd:import namespace="http://schemas.microsoft.com/sharepoint.v3"/>
    <xsd:import namespace="http://schemas.microsoft.com/sharepoint/v3/fields"/>
    <xsd:import namespace="9d61d8fb-a99e-4f97-bee3-1c0c42237d32"/>
    <xsd:import namespace="8208de43-a64f-47b6-af23-f340daf30859"/>
    <xsd:element name="properties">
      <xsd:complexType>
        <xsd:sequence>
          <xsd:element name="documentManagement">
            <xsd:complexType>
              <xsd:all>
                <xsd:element ref="ns2:Document_x0020_Creation_x0020_Date" minOccurs="0"/>
                <xsd:element ref="ns2:Creator" minOccurs="0"/>
                <xsd:element ref="ns2:EPA_x0020_Office" minOccurs="0"/>
                <xsd:element ref="ns2:Record" minOccurs="0"/>
                <xsd:element ref="ns3:CategoryDescription" minOccurs="0"/>
                <xsd:element ref="ns2:Identifier" minOccurs="0"/>
                <xsd:element ref="ns2:EPA_x0020_Contributor" minOccurs="0"/>
                <xsd:element ref="ns2:External_x0020_Contributor" minOccurs="0"/>
                <xsd:element ref="ns4:_Coverage" minOccurs="0"/>
                <xsd:element ref="ns2:EPA_x0020_Related_x0020_Documents" minOccurs="0"/>
                <xsd:element ref="ns4:_Source" minOccurs="0"/>
                <xsd:element ref="ns2:Rights" minOccurs="0"/>
                <xsd:element ref="ns1:Language" minOccurs="0"/>
                <xsd:element ref="ns2:j747ac98061d40f0aa7bd47e1db5675d" minOccurs="0"/>
                <xsd:element ref="ns2:TaxKeywordTaxHTField" minOccurs="0"/>
                <xsd:element ref="ns2:TaxCatchAllLabel" minOccurs="0"/>
                <xsd:element ref="ns2:TaxCatchAll" minOccurs="0"/>
                <xsd:element ref="ns5:MediaServiceMetadata" minOccurs="0"/>
                <xsd:element ref="ns5:MediaServiceFastMetadata" minOccurs="0"/>
                <xsd:element ref="ns6:SharedWithUsers" minOccurs="0"/>
                <xsd:element ref="ns6:SharedWithDetails" minOccurs="0"/>
                <xsd:element ref="ns5:MediaServiceDateTaken" minOccurs="0"/>
                <xsd:element ref="ns5:MediaServiceAutoTags" minOccurs="0"/>
                <xsd:element ref="ns5:MediaServiceGenerationTime" minOccurs="0"/>
                <xsd:element ref="ns5:MediaServiceEventHashCode" minOccurs="0"/>
                <xsd:element ref="ns5:MediaServiceOCR" minOccurs="0"/>
                <xsd:element ref="ns5:MediaLengthInSeconds" minOccurs="0"/>
                <xsd:element ref="ns5:MediaServiceLocation" minOccurs="0"/>
                <xsd:element ref="ns1:_ip_UnifiedCompliancePolicyProperties" minOccurs="0"/>
                <xsd:element ref="ns1:_ip_UnifiedCompliancePolicyUIAction" minOccurs="0"/>
                <xsd:element ref="ns5:lcf76f155ced4ddcb4097134ff3c332f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Language" ma:index="17" nillable="true" ma:displayName="Language" ma:default="English" ma:description="Select the document language from the drop down." ma:format="Dropdown" ma:internalName="Language" ma:readOnly="false">
      <xsd:simpleType>
        <xsd:restriction base="dms:Choice">
          <xsd:enumeration value="Arabic (Saudi Arabia)"/>
          <xsd:enumeration value="Bulgarian (Bulgaria)"/>
          <xsd:enumeration value="Chinese (Hong Kong S.A.R.)"/>
          <xsd:enumeration value="Chinese (People's Republic of China)"/>
          <xsd:enumeration value="Chinese (Taiwan)"/>
          <xsd:enumeration value="Croatian (Croatia)"/>
          <xsd:enumeration value="Czech (Czech Republic)"/>
          <xsd:enumeration value="Danish (Denmark)"/>
          <xsd:enumeration value="Dutch (Netherlands)"/>
          <xsd:enumeration value="English"/>
          <xsd:enumeration value="Estonian (Estonia)"/>
          <xsd:enumeration value="Finnish (Finland)"/>
          <xsd:enumeration value="French (France)"/>
          <xsd:enumeration value="German (Germany)"/>
          <xsd:enumeration value="Greek (Greece)"/>
          <xsd:enumeration value="Hebrew (Israel)"/>
          <xsd:enumeration value="Hindi (India)"/>
          <xsd:enumeration value="Hungarian (Hungary)"/>
          <xsd:enumeration value="Indonesian (Indonesia)"/>
          <xsd:enumeration value="Italian (Italy)"/>
          <xsd:enumeration value="Japanese (Japan)"/>
          <xsd:enumeration value="Korean (Korea)"/>
          <xsd:enumeration value="Latvian (Latvia)"/>
          <xsd:enumeration value="Lithuanian (Lithuania)"/>
          <xsd:enumeration value="Malay (Malaysia)"/>
          <xsd:enumeration value="Norwegian (Bokmal) (Norway)"/>
          <xsd:enumeration value="Polish (Poland)"/>
          <xsd:enumeration value="Portuguese (Brazil)"/>
          <xsd:enumeration value="Portuguese (Portugal)"/>
          <xsd:enumeration value="Romanian (Romania)"/>
          <xsd:enumeration value="Russian (Russia)"/>
          <xsd:enumeration value="Serbian (Latin) (Serbia)"/>
          <xsd:enumeration value="Slovak (Slovakia)"/>
          <xsd:enumeration value="Slovenian (Slovenia)"/>
          <xsd:enumeration value="Spanish (Spain)"/>
          <xsd:enumeration value="Swedish (Sweden)"/>
          <xsd:enumeration value="Thai (Thailand)"/>
          <xsd:enumeration value="Turkish (Turkey)"/>
          <xsd:enumeration value="Ukrainian (Ukraine)"/>
          <xsd:enumeration value="Urdu (Islamic Republic of Pakistan)"/>
          <xsd:enumeration value="Vietnamese (Vietnam)"/>
        </xsd:restriction>
      </xsd:simpleType>
    </xsd:element>
    <xsd:element name="_ip_UnifiedCompliancePolicyProperties" ma:index="3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4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fa91fb-a0ff-4ac5-b2db-65c790d184a4" elementFormDefault="qualified">
    <xsd:import namespace="http://schemas.microsoft.com/office/2006/documentManagement/types"/>
    <xsd:import namespace="http://schemas.microsoft.com/office/infopath/2007/PartnerControls"/>
    <xsd:element name="Document_x0020_Creation_x0020_Date" ma:index="2" nillable="true" ma:displayName="Document Date" ma:default="[today]" ma:description="Enter the date this document was last modified. The upload date has been entered by default." ma:format="DateOnly" ma:internalName="Document_x0020_Creation_x0020_Date" ma:readOnly="false">
      <xsd:simpleType>
        <xsd:restriction base="dms:DateTime"/>
      </xsd:simpleType>
    </xsd:element>
    <xsd:element name="Creator" ma:index="3" nillable="true" ma:displayName="Creator" ma:description="Enter the person primarily responsible for the document. The name of the person uploading the document has been entered by default." ma:list="UserInfo" ma:SharePointGroup="0" ma:internalName="Creat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PA_x0020_Office" ma:index="4" nillable="true" ma:displayName="EPA Office" ma:description="Enter the EPA organization primarily responsible for the document. The office of the person uploading the document has been entered by default." ma:internalName="EPA_x0020_Office" ma:readOnly="false">
      <xsd:simpleType>
        <xsd:restriction base="dms:Text">
          <xsd:maxLength value="255"/>
        </xsd:restriction>
      </xsd:simpleType>
    </xsd:element>
    <xsd:element name="Record" ma:index="5" nillable="true" ma:displayName="Record" ma:default="Shared" ma:description="For documents that provide evidence of EPA decisions and actions, select &quot;Shared&quot; (open access) or &quot;Private&quot; (restricted access)." ma:format="Dropdown" ma:internalName="Record">
      <xsd:simpleType>
        <xsd:restriction base="dms:Choice">
          <xsd:enumeration value="None"/>
          <xsd:enumeration value="Shared"/>
          <xsd:enumeration value="Private"/>
        </xsd:restriction>
      </xsd:simpleType>
    </xsd:element>
    <xsd:element name="Identifier" ma:index="9" nillable="true" ma:displayName="Identifier" ma:description="Enter all EPA identification numbers applicable to this document, one on each line." ma:internalName="Identifier" ma:readOnly="false">
      <xsd:simpleType>
        <xsd:restriction base="dms:Note">
          <xsd:maxLength value="255"/>
        </xsd:restriction>
      </xsd:simpleType>
    </xsd:element>
    <xsd:element name="EPA_x0020_Contributor" ma:index="11" nillable="true" ma:displayName="EPA Contributor" ma:description="Enter an EPA person who contributed to the creation of the document but is not the primary author." ma:list="UserInfo" ma:SharePointGroup="0" ma:internalName="EPA_x0020_Contribut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xternal_x0020_Contributor" ma:index="12" nillable="true" ma:displayName="External Contributor" ma:description="Enter a non-EPA person who contributed to the creation of the document but is not the primary author." ma:internalName="External_x0020_Contributor" ma:readOnly="false">
      <xsd:simpleType>
        <xsd:restriction base="dms:Note">
          <xsd:maxLength value="255"/>
        </xsd:restriction>
      </xsd:simpleType>
    </xsd:element>
    <xsd:element name="EPA_x0020_Related_x0020_Documents" ma:index="14" nillable="true" ma:displayName="Other Related Documents" ma:description="Enter any related document." ma:internalName="EPA_x0020_Related_x0020_Documents" ma:readOnly="false">
      <xsd:simpleType>
        <xsd:restriction base="dms:Note">
          <xsd:maxLength value="255"/>
        </xsd:restriction>
      </xsd:simpleType>
    </xsd:element>
    <xsd:element name="Rights" ma:index="16" nillable="true" ma:displayName="Rights" ma:description="Enter information about intellectual property rights held over the document (e.g. copyright, patent, trademark)." ma:internalName="Rights" ma:readOnly="false">
      <xsd:simpleType>
        <xsd:restriction base="dms:Note">
          <xsd:maxLength value="255"/>
        </xsd:restriction>
      </xsd:simpleType>
    </xsd:element>
    <xsd:element name="j747ac98061d40f0aa7bd47e1db5675d" ma:index="19" nillable="true" ma:taxonomy="true" ma:internalName="j747ac98061d40f0aa7bd47e1db5675d" ma:taxonomyFieldName="Document_x0020_Type" ma:displayName="Document Type" ma:readOnly="false" ma:default="" ma:fieldId="{3747ac98-061d-40f0-aa7b-d47e1db5675d}" ma:sspId="29f62856-1543-49d4-a736-4569d363f533" ma:termSetId="e06cd6a9-a175-4da0-81cb-8dba7aa394a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21" nillable="true" ma:taxonomy="true" ma:internalName="TaxKeywordTaxHTField" ma:taxonomyFieldName="TaxKeyword" ma:displayName="Enterprise Keywords" ma:readOnly="false" ma:fieldId="{23f27201-bee3-471e-b2e7-b64fd8b7ca38}" ma:taxonomyMulti="true" ma:sspId="29f62856-1543-49d4-a736-4569d363f533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23" nillable="true" ma:displayName="Taxonomy Catch All Column1" ma:hidden="true" ma:list="{3eea9a90-c9c7-4cb4-b15a-d2a3718b7468}" ma:internalName="TaxCatchAllLabel" ma:readOnly="true" ma:showField="CatchAllDataLabel" ma:web="8208de43-a64f-47b6-af23-f340daf308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24" nillable="true" ma:displayName="Taxonomy Catch All Column" ma:hidden="true" ma:list="{3eea9a90-c9c7-4cb4-b15a-d2a3718b7468}" ma:internalName="TaxCatchAll" ma:showField="CatchAllData" ma:web="8208de43-a64f-47b6-af23-f340daf308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6" nillable="true" ma:displayName="Description" ma:description="Enter a brief description." ma:internalName="CategoryDescription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Coverage" ma:index="13" nillable="true" ma:displayName="Coverage" ma:description="Enter the geographic location, jurisdiction, or time period for which the document is relevant." ma:internalName="_Coverage" ma:readOnly="false">
      <xsd:simpleType>
        <xsd:restriction base="dms:Text">
          <xsd:maxLength value="255"/>
        </xsd:restriction>
      </xsd:simpleType>
    </xsd:element>
    <xsd:element name="_Source" ma:index="15" nillable="true" ma:displayName="Source" ma:description="Enter a source from which the document is derived." ma:internalName="_Source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61d8fb-a99e-4f97-bee3-1c0c42237d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33" nillable="true" ma:displayName="Tags" ma:internalName="MediaServiceAutoTags" ma:readOnly="true">
      <xsd:simpleType>
        <xsd:restriction base="dms:Text"/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37" nillable="true" ma:displayName="Length (seconds)" ma:internalName="MediaLengthInSeconds" ma:readOnly="true">
      <xsd:simpleType>
        <xsd:restriction base="dms:Unknown"/>
      </xsd:simpleType>
    </xsd:element>
    <xsd:element name="MediaServiceLocation" ma:index="3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42" nillable="true" ma:taxonomy="true" ma:internalName="lcf76f155ced4ddcb4097134ff3c332f" ma:taxonomyFieldName="MediaServiceImageTags" ma:displayName="Image Tags" ma:readOnly="false" ma:fieldId="{5cf76f15-5ced-4ddc-b409-7134ff3c332f}" ma:taxonomyMulti="true" ma:sspId="29f62856-1543-49d4-a736-4569d363f53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08de43-a64f-47b6-af23-f340daf30859" elementFormDefault="qualified">
    <xsd:import namespace="http://schemas.microsoft.com/office/2006/documentManagement/types"/>
    <xsd:import namespace="http://schemas.microsoft.com/office/infopath/2007/PartnerControls"/>
    <xsd:element name="SharedWithUsers" ma:index="3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29f62856-1543-49d4-a736-4569d363f533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Source xmlns="http://schemas.microsoft.com/sharepoint/v3/fields" xsi:nil="true"/>
    <Language xmlns="http://schemas.microsoft.com/sharepoint/v3">English</Language>
    <_ip_UnifiedCompliancePolicyUIAction xmlns="http://schemas.microsoft.com/sharepoint/v3" xsi:nil="true"/>
    <j747ac98061d40f0aa7bd47e1db5675d xmlns="4ffa91fb-a0ff-4ac5-b2db-65c790d184a4">
      <Terms xmlns="http://schemas.microsoft.com/office/infopath/2007/PartnerControls"/>
    </j747ac98061d40f0aa7bd47e1db5675d>
    <External_x0020_Contributor xmlns="4ffa91fb-a0ff-4ac5-b2db-65c790d184a4" xsi:nil="true"/>
    <TaxKeywordTaxHTField xmlns="4ffa91fb-a0ff-4ac5-b2db-65c790d184a4">
      <Terms xmlns="http://schemas.microsoft.com/office/infopath/2007/PartnerControls"/>
    </TaxKeywordTaxHTField>
    <Record xmlns="4ffa91fb-a0ff-4ac5-b2db-65c790d184a4">Shared</Record>
    <_ip_UnifiedCompliancePolicyProperties xmlns="http://schemas.microsoft.com/sharepoint/v3" xsi:nil="true"/>
    <Rights xmlns="4ffa91fb-a0ff-4ac5-b2db-65c790d184a4" xsi:nil="true"/>
    <Document_x0020_Creation_x0020_Date xmlns="4ffa91fb-a0ff-4ac5-b2db-65c790d184a4">2026-02-25T20:25:05+00:00</Document_x0020_Creation_x0020_Date>
    <EPA_x0020_Office xmlns="4ffa91fb-a0ff-4ac5-b2db-65c790d184a4" xsi:nil="true"/>
    <CategoryDescription xmlns="http://schemas.microsoft.com/sharepoint.v3" xsi:nil="true"/>
    <Identifier xmlns="4ffa91fb-a0ff-4ac5-b2db-65c790d184a4" xsi:nil="true"/>
    <_Coverage xmlns="http://schemas.microsoft.com/sharepoint/v3/fields" xsi:nil="true"/>
    <Creator xmlns="4ffa91fb-a0ff-4ac5-b2db-65c790d184a4">
      <UserInfo>
        <DisplayName/>
        <AccountId xsi:nil="true"/>
        <AccountType/>
      </UserInfo>
    </Creator>
    <EPA_x0020_Related_x0020_Documents xmlns="4ffa91fb-a0ff-4ac5-b2db-65c790d184a4" xsi:nil="true"/>
    <EPA_x0020_Contributor xmlns="4ffa91fb-a0ff-4ac5-b2db-65c790d184a4">
      <UserInfo>
        <DisplayName/>
        <AccountId xsi:nil="true"/>
        <AccountType/>
      </UserInfo>
    </EPA_x0020_Contributor>
    <TaxCatchAll xmlns="4ffa91fb-a0ff-4ac5-b2db-65c790d184a4" xsi:nil="true"/>
    <lcf76f155ced4ddcb4097134ff3c332f xmlns="9d61d8fb-a99e-4f97-bee3-1c0c42237d3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7400229-48C3-4A70-88F3-A4F2CC27298F}"/>
</file>

<file path=customXml/itemProps2.xml><?xml version="1.0" encoding="utf-8"?>
<ds:datastoreItem xmlns:ds="http://schemas.openxmlformats.org/officeDocument/2006/customXml" ds:itemID="{571FD797-D3EC-425D-92EA-A1CCDC3311BD}"/>
</file>

<file path=customXml/itemProps3.xml><?xml version="1.0" encoding="utf-8"?>
<ds:datastoreItem xmlns:ds="http://schemas.openxmlformats.org/officeDocument/2006/customXml" ds:itemID="{34E71AE2-90CC-48F1-AE37-2BB3CB9B8F4F}"/>
</file>

<file path=customXml/itemProps4.xml><?xml version="1.0" encoding="utf-8"?>
<ds:datastoreItem xmlns:ds="http://schemas.openxmlformats.org/officeDocument/2006/customXml" ds:itemID="{68110419-750B-4EE7-8AEA-D6C83C1745C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2026-02-25T20:24:42Z</dcterms:created>
  <dcterms:modified xsi:type="dcterms:W3CDTF">2026-02-25T20:24:42Z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2026-02-25T00:00:00Z</vt:filetime>
  </property>
  <property fmtid="{D5CDD505-2E9C-101B-9397-08002B2CF9AE}" pid="3" name="LastSaved">
    <vt:filetime>2026-02-25T00:00:00Z</vt:filetime>
  </property>
  <property fmtid="{D5CDD505-2E9C-101B-9397-08002B2CF9AE}" pid="4" name="ContentTypeId">
    <vt:lpwstr>0x01010046E555EE6AEA6F4E90DC1EE56A20DF84</vt:lpwstr>
  </property>
  <property fmtid="{D5CDD505-2E9C-101B-9397-08002B2CF9AE}" pid="5" name="TaxKeyword">
    <vt:lpwstr/>
  </property>
  <property fmtid="{D5CDD505-2E9C-101B-9397-08002B2CF9AE}" pid="6" name="Document_x0020_Type">
    <vt:lpwstr/>
  </property>
  <property fmtid="{D5CDD505-2E9C-101B-9397-08002B2CF9AE}" pid="7" name="Document Type">
    <vt:lpwstr/>
  </property>
</Properties>
</file>